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ДОЛГОСРОЧНАЯ ЦЕЛЕВАЯ ПРОГРАММА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«МОДЕРНИЗАЦИЯ СИСТЕМЫ ОБРАЗОВАНИЯ МУНИЦИПАЛЬНОГО РАЙОНА «ГОРОД ЛЮДИНОВО И ЛЮДИНОВСКИЙ РАЙОН» КАЛУЖСКОЙ ОБЛАСТИ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НА 2011-2015 ГОДЫ»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Паспорт долгосрочной целевой программы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«Модернизация системы образования муниципального района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 xml:space="preserve">«Город Людиново и </w:t>
      </w:r>
      <w:proofErr w:type="spellStart"/>
      <w:r w:rsidRPr="00586C98">
        <w:rPr>
          <w:b/>
          <w:lang w:eastAsia="ru-RU"/>
        </w:rPr>
        <w:t>Людиновский</w:t>
      </w:r>
      <w:proofErr w:type="spellEnd"/>
      <w:r w:rsidRPr="00586C98">
        <w:rPr>
          <w:b/>
          <w:lang w:eastAsia="ru-RU"/>
        </w:rPr>
        <w:t xml:space="preserve"> район» Калужской области на 2011-2015 годы»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6905"/>
      </w:tblGrid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 Наименование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«Модернизация системы образования муниципального района «Город Людиново и </w:t>
            </w:r>
            <w:proofErr w:type="spellStart"/>
            <w:r w:rsidRPr="00586C98">
              <w:rPr>
                <w:lang w:eastAsia="ru-RU"/>
              </w:rPr>
              <w:t>Людиновский</w:t>
            </w:r>
            <w:proofErr w:type="spellEnd"/>
            <w:r w:rsidRPr="00586C98">
              <w:rPr>
                <w:lang w:eastAsia="ru-RU"/>
              </w:rPr>
              <w:t xml:space="preserve"> район» Калужской области на 2011-2015 годы» (дале</w:t>
            </w:r>
            <w:proofErr w:type="gramStart"/>
            <w:r w:rsidRPr="00586C98">
              <w:rPr>
                <w:lang w:eastAsia="ru-RU"/>
              </w:rPr>
              <w:t>е-</w:t>
            </w:r>
            <w:proofErr w:type="gramEnd"/>
            <w:r w:rsidRPr="00586C98">
              <w:rPr>
                <w:lang w:eastAsia="ru-RU"/>
              </w:rPr>
              <w:t xml:space="preserve"> Программа)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2. Заказчик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Администрация муниципального района «Город Людиново и </w:t>
            </w:r>
            <w:proofErr w:type="spellStart"/>
            <w:r w:rsidRPr="00586C98">
              <w:rPr>
                <w:lang w:eastAsia="ru-RU"/>
              </w:rPr>
              <w:t>Людиновский</w:t>
            </w:r>
            <w:proofErr w:type="spellEnd"/>
            <w:r w:rsidRPr="00586C98">
              <w:rPr>
                <w:lang w:eastAsia="ru-RU"/>
              </w:rPr>
              <w:t xml:space="preserve"> район»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3. Разработчик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Отдел образования администрации муниципального района «Город Людиново и </w:t>
            </w:r>
            <w:proofErr w:type="spellStart"/>
            <w:r w:rsidRPr="00586C98">
              <w:rPr>
                <w:lang w:eastAsia="ru-RU"/>
              </w:rPr>
              <w:t>Людиновский</w:t>
            </w:r>
            <w:proofErr w:type="spellEnd"/>
            <w:r w:rsidRPr="00586C98">
              <w:rPr>
                <w:lang w:eastAsia="ru-RU"/>
              </w:rPr>
              <w:t xml:space="preserve"> район»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4. Основная цель и задачи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Цель Программ</w:t>
            </w:r>
            <w:proofErr w:type="gramStart"/>
            <w:r w:rsidRPr="00586C98">
              <w:rPr>
                <w:lang w:eastAsia="ru-RU"/>
              </w:rPr>
              <w:t>ы-</w:t>
            </w:r>
            <w:proofErr w:type="gramEnd"/>
            <w:r w:rsidRPr="00586C98">
              <w:rPr>
                <w:lang w:eastAsia="ru-RU"/>
              </w:rPr>
              <w:t xml:space="preserve"> модернизация общего образования как института социального развития муниципального района «Город Людиново и </w:t>
            </w:r>
            <w:proofErr w:type="spellStart"/>
            <w:r w:rsidRPr="00586C98">
              <w:rPr>
                <w:lang w:eastAsia="ru-RU"/>
              </w:rPr>
              <w:t>Людиновский</w:t>
            </w:r>
            <w:proofErr w:type="spellEnd"/>
            <w:r w:rsidRPr="00586C98">
              <w:rPr>
                <w:lang w:eastAsia="ru-RU"/>
              </w:rPr>
              <w:t xml:space="preserve"> район» Калужской области.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Задачи Программы: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-создание условий для внедрения федеральных государственных образовательных стандартов общего образования, улучшение качества образования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-развитие творческого и профессионального потенциала педагогических и руководящих работников системы образования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-совершенствование школьной инфраструктуры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-развитие информационной среды системы образования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-расширение самостоятельности муниципальных образовательных учреждений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5. Целевые индикаторы и показатели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Уровень доступности качественного общего образования в соответствии с современными стандартами и требованиями инновационного социально ориентированного развития муниципального района и Калужской области для всех категорий граждан независимо от места жительства, социального и имущественного статуса и состояния здоровья;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доля </w:t>
            </w:r>
            <w:proofErr w:type="gramStart"/>
            <w:r w:rsidRPr="00586C98">
              <w:rPr>
                <w:lang w:eastAsia="ru-RU"/>
              </w:rPr>
              <w:t>обучающихся</w:t>
            </w:r>
            <w:proofErr w:type="gramEnd"/>
            <w:r w:rsidRPr="00586C98">
              <w:rPr>
                <w:lang w:eastAsia="ru-RU"/>
              </w:rPr>
              <w:t xml:space="preserve">, которым предоставлена возможность обучаться в </w:t>
            </w:r>
            <w:r w:rsidRPr="00586C98">
              <w:rPr>
                <w:lang w:eastAsia="ru-RU"/>
              </w:rPr>
              <w:lastRenderedPageBreak/>
              <w:t>соответствии с современными требованиями, от общей численности обучающихся;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увеличение количества муниципальных образовательных учреждений, внедряющих современные модели дополнительного образования;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доля учителей, участвующих в деятельности профессиональных сетевых сообществ и </w:t>
            </w:r>
            <w:proofErr w:type="spellStart"/>
            <w:r w:rsidRPr="00586C98">
              <w:rPr>
                <w:lang w:eastAsia="ru-RU"/>
              </w:rPr>
              <w:t>саморегулируемых</w:t>
            </w:r>
            <w:proofErr w:type="spellEnd"/>
            <w:r w:rsidRPr="00586C98">
              <w:rPr>
                <w:lang w:eastAsia="ru-RU"/>
              </w:rPr>
              <w:t xml:space="preserve"> организаций и регулярно получающих в них профессиональную помощь и поддержку, от общей численности учителей;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доля общеобразовательных учреждений со статусом «инновационная площадка» от общего числа муниципальных общеобразовательных учреждений;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доля общеобразовательных учреждений, реализующих программы профильного обучения, от общего числа муниципальных общеобразовательных учреждений, имеющих старшую ступень;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количество </w:t>
            </w:r>
            <w:proofErr w:type="gramStart"/>
            <w:r w:rsidRPr="00586C98">
              <w:rPr>
                <w:lang w:eastAsia="ru-RU"/>
              </w:rPr>
              <w:t>обучающихся</w:t>
            </w:r>
            <w:proofErr w:type="gramEnd"/>
            <w:r w:rsidRPr="00586C98">
              <w:rPr>
                <w:lang w:eastAsia="ru-RU"/>
              </w:rPr>
              <w:t>, на которых приходится 1 компьютер;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активизация </w:t>
            </w:r>
            <w:proofErr w:type="spellStart"/>
            <w:r w:rsidRPr="00586C98">
              <w:rPr>
                <w:lang w:eastAsia="ru-RU"/>
              </w:rPr>
              <w:t>профориентационной</w:t>
            </w:r>
            <w:proofErr w:type="spellEnd"/>
            <w:r w:rsidRPr="00586C98">
              <w:rPr>
                <w:lang w:eastAsia="ru-RU"/>
              </w:rPr>
              <w:t xml:space="preserve"> работы;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увеличение количества выпускников школ, поступающих в учебные заведения по целевому набору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lastRenderedPageBreak/>
              <w:t>6. Сроки и этапы реализации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Срок реализации Программы- 2011-2015 год</w:t>
            </w:r>
            <w:proofErr w:type="gramStart"/>
            <w:r w:rsidRPr="00586C98">
              <w:rPr>
                <w:lang w:eastAsia="ru-RU"/>
              </w:rPr>
              <w:t>ы-</w:t>
            </w:r>
            <w:proofErr w:type="gramEnd"/>
            <w:r w:rsidRPr="00586C98">
              <w:rPr>
                <w:lang w:eastAsia="ru-RU"/>
              </w:rPr>
              <w:t xml:space="preserve"> </w:t>
            </w:r>
            <w:proofErr w:type="spellStart"/>
            <w:r w:rsidRPr="00586C98">
              <w:rPr>
                <w:lang w:eastAsia="ru-RU"/>
              </w:rPr>
              <w:t>одноэтапно</w:t>
            </w:r>
            <w:proofErr w:type="spellEnd"/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7. Перечень подпрограмм и основных мероприятий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Основные мероприятия Программы: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-переход на новые государственные образовательные стандарты;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-участие в формировании региональной системы оценки качества образования;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-развитие учительского потенциала;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-изменение школьной инфраструктуры;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-развитие информационной образовательной среды;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-расширение самостоятельности общеобразовательных учреждений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8. Объемы финансирования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4"/>
              <w:gridCol w:w="1112"/>
              <w:gridCol w:w="618"/>
              <w:gridCol w:w="783"/>
              <w:gridCol w:w="783"/>
              <w:gridCol w:w="890"/>
              <w:gridCol w:w="840"/>
            </w:tblGrid>
            <w:tr w:rsidR="00586C98" w:rsidRPr="00586C98">
              <w:trPr>
                <w:tblCellSpacing w:w="15" w:type="dxa"/>
              </w:trPr>
              <w:tc>
                <w:tcPr>
                  <w:tcW w:w="1800" w:type="dxa"/>
                  <w:vMerge w:val="restart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Источники</w:t>
                  </w:r>
                </w:p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финансирования</w:t>
                  </w:r>
                </w:p>
              </w:tc>
              <w:tc>
                <w:tcPr>
                  <w:tcW w:w="1155" w:type="dxa"/>
                  <w:vMerge w:val="restart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Сумма</w:t>
                  </w:r>
                </w:p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расходов</w:t>
                  </w:r>
                </w:p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(тыс</w:t>
                  </w:r>
                  <w:proofErr w:type="gramStart"/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уб.)</w:t>
                  </w:r>
                </w:p>
              </w:tc>
              <w:tc>
                <w:tcPr>
                  <w:tcW w:w="4050" w:type="dxa"/>
                  <w:gridSpan w:val="5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В том числе по годам</w:t>
                  </w:r>
                </w:p>
              </w:tc>
            </w:tr>
            <w:tr w:rsidR="00586C98" w:rsidRPr="00586C9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2011</w:t>
                  </w: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2012</w:t>
                  </w: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2013</w:t>
                  </w:r>
                </w:p>
              </w:tc>
              <w:tc>
                <w:tcPr>
                  <w:tcW w:w="93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2014</w:t>
                  </w: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2015</w:t>
                  </w:r>
                </w:p>
              </w:tc>
            </w:tr>
            <w:tr w:rsidR="00586C98" w:rsidRPr="00586C98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Муниципальный</w:t>
                  </w:r>
                </w:p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бюджет</w:t>
                  </w:r>
                </w:p>
              </w:tc>
              <w:tc>
                <w:tcPr>
                  <w:tcW w:w="115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33500,607</w:t>
                  </w:r>
                </w:p>
              </w:tc>
              <w:tc>
                <w:tcPr>
                  <w:tcW w:w="66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639,</w:t>
                  </w:r>
                </w:p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027</w:t>
                  </w: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4895,0</w:t>
                  </w: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8452,0</w:t>
                  </w:r>
                </w:p>
              </w:tc>
              <w:tc>
                <w:tcPr>
                  <w:tcW w:w="93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9753,16</w:t>
                  </w: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86C98">
                    <w:rPr>
                      <w:rFonts w:ascii="Times New Roman" w:hAnsi="Times New Roman" w:cs="Times New Roman"/>
                      <w:lang w:eastAsia="ru-RU"/>
                    </w:rPr>
                    <w:t>9769,68</w:t>
                  </w:r>
                </w:p>
              </w:tc>
            </w:tr>
            <w:tr w:rsidR="00586C98" w:rsidRPr="00586C98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hideMark/>
                </w:tcPr>
                <w:p w:rsidR="00586C98" w:rsidRPr="00586C98" w:rsidRDefault="00586C98" w:rsidP="00586C9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9. Ожидаемые результаты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Реализация программы позволит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общего образования, соответствующего современным образовательным стандартам и требованиям инновационного социально ориентированного развития муниципального района и Калужской области.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При этом будет обеспечено: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-создание и внедрение образовательных программ в соответствии с федеральными государственными стандартами общего образования на всех ступенях образования;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-внедрение и эффективное использование в системе общего образования новых информационных сервисов, систем и технологий обучения, </w:t>
            </w:r>
            <w:proofErr w:type="gramStart"/>
            <w:r w:rsidRPr="00586C98">
              <w:rPr>
                <w:lang w:eastAsia="ru-RU"/>
              </w:rPr>
              <w:t>электронным</w:t>
            </w:r>
            <w:proofErr w:type="gramEnd"/>
            <w:r w:rsidRPr="00586C98">
              <w:rPr>
                <w:lang w:eastAsia="ru-RU"/>
              </w:rPr>
              <w:t xml:space="preserve"> образовательных ресурсов нового поколения;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-внедрение процедур независимой оценки деятельности образовательных учреждений и процессов в системе образования;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-реализация общественно-государственного характера управления, направленного на повышение открытости образовательных учреждений обществу;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-развитие </w:t>
            </w:r>
            <w:proofErr w:type="gramStart"/>
            <w:r w:rsidRPr="00586C98">
              <w:rPr>
                <w:lang w:eastAsia="ru-RU"/>
              </w:rPr>
              <w:t>школьной</w:t>
            </w:r>
            <w:proofErr w:type="gramEnd"/>
            <w:r w:rsidRPr="00586C98">
              <w:rPr>
                <w:lang w:eastAsia="ru-RU"/>
              </w:rPr>
              <w:t xml:space="preserve"> </w:t>
            </w:r>
            <w:proofErr w:type="spellStart"/>
            <w:r w:rsidRPr="00586C98">
              <w:rPr>
                <w:lang w:eastAsia="ru-RU"/>
              </w:rPr>
              <w:t>инфрастуктуры</w:t>
            </w:r>
            <w:proofErr w:type="spellEnd"/>
            <w:r w:rsidRPr="00586C98">
              <w:rPr>
                <w:lang w:eastAsia="ru-RU"/>
              </w:rPr>
              <w:t>;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-повышение роли и значения гражданского общества в управлении образованием и становлении обязательной публичной отчетности разных образовательных структур.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Показателем социально-экономической эффективности реализации Программы станет повышение уровня образования обучающихся путем оказания им доступных и качественных образовательных услуг.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62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10. Система организации </w:t>
            </w:r>
            <w:proofErr w:type="gramStart"/>
            <w:r w:rsidRPr="00586C98">
              <w:rPr>
                <w:lang w:eastAsia="ru-RU"/>
              </w:rPr>
              <w:t>контроля за</w:t>
            </w:r>
            <w:proofErr w:type="gramEnd"/>
            <w:r w:rsidRPr="00586C98">
              <w:rPr>
                <w:lang w:eastAsia="ru-RU"/>
              </w:rPr>
              <w:t xml:space="preserve"> исполнением Программы</w:t>
            </w:r>
          </w:p>
        </w:tc>
        <w:tc>
          <w:tcPr>
            <w:tcW w:w="6945" w:type="dxa"/>
            <w:shd w:val="clear" w:color="auto" w:fill="auto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proofErr w:type="gramStart"/>
            <w:r w:rsidRPr="00586C98">
              <w:rPr>
                <w:lang w:eastAsia="ru-RU"/>
              </w:rPr>
              <w:t>Контроль за</w:t>
            </w:r>
            <w:proofErr w:type="gramEnd"/>
            <w:r w:rsidRPr="00586C98">
              <w:rPr>
                <w:lang w:eastAsia="ru-RU"/>
              </w:rPr>
              <w:t xml:space="preserve"> реализацией Программы осуществляет администрация муниципального района «Город Людиново и </w:t>
            </w:r>
            <w:proofErr w:type="spellStart"/>
            <w:r w:rsidRPr="00586C98">
              <w:rPr>
                <w:lang w:eastAsia="ru-RU"/>
              </w:rPr>
              <w:t>Людиновский</w:t>
            </w:r>
            <w:proofErr w:type="spellEnd"/>
            <w:r w:rsidRPr="00586C98">
              <w:rPr>
                <w:lang w:eastAsia="ru-RU"/>
              </w:rPr>
              <w:t xml:space="preserve"> район»</w:t>
            </w:r>
          </w:p>
        </w:tc>
      </w:tr>
    </w:tbl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1. Содержание проблемы и необходимость ее решения программным методом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В муниципальном районе «Город Людиново и </w:t>
      </w:r>
      <w:proofErr w:type="spellStart"/>
      <w:r w:rsidRPr="00586C98">
        <w:rPr>
          <w:lang w:eastAsia="ru-RU"/>
        </w:rPr>
        <w:t>Людиновский</w:t>
      </w:r>
      <w:proofErr w:type="spellEnd"/>
      <w:r w:rsidRPr="00586C98">
        <w:rPr>
          <w:lang w:eastAsia="ru-RU"/>
        </w:rPr>
        <w:t xml:space="preserve"> район» функционируют 14 общеобразовательных школ, в которых обучается 3 757 обучающихся. В общеобразовательных школах работает 385 педагогических работников.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 </w:t>
      </w:r>
      <w:r w:rsidRPr="00586C98">
        <w:rPr>
          <w:i/>
          <w:iCs/>
          <w:lang w:eastAsia="ru-RU"/>
        </w:rPr>
        <w:t>конкурсе общеобразовательных учреждений, активно внедряющих инновационные образовательные программы</w:t>
      </w:r>
      <w:r w:rsidRPr="00586C98">
        <w:rPr>
          <w:lang w:eastAsia="ru-RU"/>
        </w:rPr>
        <w:t>, на получение премии в размере 1 млн. рублей в 2006 - 2008 годах принимали участие общеобразовательные школы: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2006 год – 5 школ; однако ни одна школа не стала победителем данного конкурса;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2007 год - 8 школ; победителем конкурса стала средняя общеобразовательная школа № 2 с углубленным изучением отдельных предметов;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2008 год – 8 школ; по результатам рейтинга средняя школа № 4 - 13 место; среди сельских школ </w:t>
      </w:r>
      <w:proofErr w:type="spellStart"/>
      <w:r w:rsidRPr="00586C98">
        <w:rPr>
          <w:lang w:eastAsia="ru-RU"/>
        </w:rPr>
        <w:t>Войловская</w:t>
      </w:r>
      <w:proofErr w:type="spellEnd"/>
      <w:r w:rsidRPr="00586C98">
        <w:rPr>
          <w:lang w:eastAsia="ru-RU"/>
        </w:rPr>
        <w:t xml:space="preserve"> основная школа - 11 место.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областном конкурсе </w:t>
      </w:r>
      <w:r w:rsidRPr="00586C98">
        <w:rPr>
          <w:i/>
          <w:iCs/>
          <w:lang w:eastAsia="ru-RU"/>
        </w:rPr>
        <w:t>«Лучшие школы Калужской области»</w:t>
      </w:r>
      <w:r w:rsidRPr="00586C98">
        <w:rPr>
          <w:lang w:eastAsia="ru-RU"/>
        </w:rPr>
        <w:t> победителями стали: средняя общеобразовательная школа № 4, средняя общеобразовательная школа № 6 (им вручены переходящие Красные Знамена и денежная премия в размере 100 тыс. рублей).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В номинации «Школа социального партнерства» в 2008 году победителем стала </w:t>
      </w:r>
      <w:proofErr w:type="spellStart"/>
      <w:r w:rsidRPr="00586C98">
        <w:rPr>
          <w:lang w:eastAsia="ru-RU"/>
        </w:rPr>
        <w:t>Войловская</w:t>
      </w:r>
      <w:proofErr w:type="spellEnd"/>
      <w:r w:rsidRPr="00586C98">
        <w:rPr>
          <w:lang w:eastAsia="ru-RU"/>
        </w:rPr>
        <w:t xml:space="preserve"> основная общеобразовательная школа, которая получила гранд в сумме 100 тысяч рублей, а в 2009 году </w:t>
      </w:r>
      <w:proofErr w:type="spellStart"/>
      <w:r w:rsidRPr="00586C98">
        <w:rPr>
          <w:lang w:eastAsia="ru-RU"/>
        </w:rPr>
        <w:t>Войловская</w:t>
      </w:r>
      <w:proofErr w:type="spellEnd"/>
      <w:r w:rsidRPr="00586C98">
        <w:rPr>
          <w:lang w:eastAsia="ru-RU"/>
        </w:rPr>
        <w:t xml:space="preserve"> школа - победитель в номинации «Школа - </w:t>
      </w:r>
      <w:proofErr w:type="spellStart"/>
      <w:r w:rsidRPr="00586C98">
        <w:rPr>
          <w:lang w:eastAsia="ru-RU"/>
        </w:rPr>
        <w:t>социокультурный</w:t>
      </w:r>
      <w:proofErr w:type="spellEnd"/>
      <w:r w:rsidRPr="00586C98">
        <w:rPr>
          <w:lang w:eastAsia="ru-RU"/>
        </w:rPr>
        <w:t xml:space="preserve"> центр села».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5 областном конкурсе на звание «Лучшее образовательное учреждение Калужской области по содержанию и благоустройству» победителем с вручением денежной премии в размере 50 тыс. рублей стал детский сад №11 «Светлячок».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i/>
          <w:iCs/>
          <w:lang w:eastAsia="ru-RU"/>
        </w:rPr>
        <w:t>Школы, принимавшие участие в конкурсах, получили оборудование: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2006 год: интерактивная доска – 2; кабинет физики -2; кабинет географии -1;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2007 год: кабинет физики -2; по 1 кабинету химии, биологии, географии; интерактивные доски -1;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2008 год: интерактивные доски -3;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2010 год: </w:t>
      </w:r>
      <w:proofErr w:type="spellStart"/>
      <w:r w:rsidRPr="00586C98">
        <w:rPr>
          <w:lang w:eastAsia="ru-RU"/>
        </w:rPr>
        <w:t>Войловская</w:t>
      </w:r>
      <w:proofErr w:type="spellEnd"/>
      <w:r w:rsidRPr="00586C98">
        <w:rPr>
          <w:lang w:eastAsia="ru-RU"/>
        </w:rPr>
        <w:t xml:space="preserve"> основная школа получила компьютерное оборудование на сумму 90 тысяч 760 рублей.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Необходимой составляющей современного образования является овладение педагогами и учащимися современными образовательными ресурсами.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С 2005-2006 учебного года функционирует муниципальное образовательное учреждение «Информационно-методический центр», который ведет работу по реализации проекта «Информатизация системы образования» на территории муниципального района «Город Людиново и </w:t>
      </w:r>
      <w:proofErr w:type="spellStart"/>
      <w:r w:rsidRPr="00586C98">
        <w:rPr>
          <w:lang w:eastAsia="ru-RU"/>
        </w:rPr>
        <w:t>Людиновский</w:t>
      </w:r>
      <w:proofErr w:type="spellEnd"/>
      <w:r w:rsidRPr="00586C98">
        <w:rPr>
          <w:lang w:eastAsia="ru-RU"/>
        </w:rPr>
        <w:t xml:space="preserve"> район».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Все общеобразовательные школы подключены к сети Интернет.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За время реализации Федерального проекта «Информатизация системы образования» 218 педагогов прошли курсы повышения квалификации на базе «Информационно-методического центра».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Также на базе района за пять лет от Калужского областного института повышения квалификации работников образования прошли повышение квалификации 294 педагога-предметника.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Педагоги и учащиеся ОУ в 2008 году приняли участие в муниципальных конкурсах педагогических инициатив: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Количество современной компьютерной техники в общеобразовательных учреждениях заметно увеличилось, это приводит к тому, что все большее количество компьютерной техники используется в образовательном процессе, в том числе при подготовке и проведении уроков с использованием цифровых образовательных ресурсов.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В системе образования муниципального района создаются все возможные условия для развития и самореализации личности ребенка. Проводятся разнообразные мероприятия, благодаря которым каждый школьник имеет возможность проявить свои интеллектуальные и творческие способности, </w:t>
      </w:r>
      <w:proofErr w:type="spellStart"/>
      <w:r w:rsidRPr="00586C98">
        <w:rPr>
          <w:lang w:eastAsia="ru-RU"/>
        </w:rPr>
        <w:t>самореализоваться</w:t>
      </w:r>
      <w:proofErr w:type="spellEnd"/>
      <w:r w:rsidRPr="00586C98">
        <w:rPr>
          <w:lang w:eastAsia="ru-RU"/>
        </w:rPr>
        <w:t xml:space="preserve"> в современной жизни. Одной из традиционных форм выявления одаренных детей является ежегодное проведение предметных олимпиад.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Участие каждого школьника в том или ином деле это не просто участие в разовом мероприятии, это каждодневный труд ребенка, его желание проявить себя в той области знаний и умений, где он более способен. Следует отметить, что за всеми победами наших воспитанников, кроется кропотливая работа педагогов школ, которые прикладывают максимум сил для того, чтобы школьники постарались найти себя и реализовать.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С 2007 года организуется и проводится торжественное </w:t>
      </w:r>
      <w:r w:rsidRPr="00586C98">
        <w:rPr>
          <w:i/>
          <w:iCs/>
          <w:lang w:eastAsia="ru-RU"/>
        </w:rPr>
        <w:t>чествование </w:t>
      </w:r>
      <w:r w:rsidRPr="00586C98">
        <w:rPr>
          <w:lang w:eastAsia="ru-RU"/>
        </w:rPr>
        <w:t>выпускников, окончивших школу с золотой и серебряной медалями.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Ежегодно учащиеся школ принимают участие в региональном этапе Всероссийских предметных олимпиад: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2006 год – 2 </w:t>
      </w:r>
      <w:proofErr w:type="gramStart"/>
      <w:r w:rsidRPr="00586C98">
        <w:rPr>
          <w:lang w:eastAsia="ru-RU"/>
        </w:rPr>
        <w:t>призовых</w:t>
      </w:r>
      <w:proofErr w:type="gramEnd"/>
      <w:r w:rsidRPr="00586C98">
        <w:rPr>
          <w:lang w:eastAsia="ru-RU"/>
        </w:rPr>
        <w:t xml:space="preserve"> места;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2007 год- 3 </w:t>
      </w:r>
      <w:proofErr w:type="gramStart"/>
      <w:r w:rsidRPr="00586C98">
        <w:rPr>
          <w:lang w:eastAsia="ru-RU"/>
        </w:rPr>
        <w:t>призовых</w:t>
      </w:r>
      <w:proofErr w:type="gramEnd"/>
      <w:r w:rsidRPr="00586C98">
        <w:rPr>
          <w:lang w:eastAsia="ru-RU"/>
        </w:rPr>
        <w:t xml:space="preserve"> места;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2008 год- 2 </w:t>
      </w:r>
      <w:proofErr w:type="gramStart"/>
      <w:r w:rsidRPr="00586C98">
        <w:rPr>
          <w:lang w:eastAsia="ru-RU"/>
        </w:rPr>
        <w:t>призовых</w:t>
      </w:r>
      <w:proofErr w:type="gramEnd"/>
      <w:r w:rsidRPr="00586C98">
        <w:rPr>
          <w:lang w:eastAsia="ru-RU"/>
        </w:rPr>
        <w:t xml:space="preserve"> места;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2009 год- 1 призовое место;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2010 год- 5 призеров.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Также ежегодно по итогам районной конференции </w:t>
      </w:r>
      <w:r w:rsidRPr="00586C98">
        <w:rPr>
          <w:i/>
          <w:iCs/>
          <w:lang w:eastAsia="ru-RU"/>
        </w:rPr>
        <w:t>«Молодость - науке» памяти А.Л. Чижевского</w:t>
      </w:r>
      <w:r w:rsidRPr="00586C98">
        <w:rPr>
          <w:lang w:eastAsia="ru-RU"/>
        </w:rPr>
        <w:t> учащиеся школ района становятся победителями и принимают участие во Всероссийской конференции.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2010 году - 10 призеров областной конференции.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2008 году 2 ученика получили </w:t>
      </w:r>
      <w:r w:rsidRPr="00586C98">
        <w:rPr>
          <w:i/>
          <w:iCs/>
          <w:lang w:eastAsia="ru-RU"/>
        </w:rPr>
        <w:t>Президентскую премию для поддержки талантливой молодежи.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Количество победителей и призеров Всероссийских </w:t>
      </w:r>
      <w:r w:rsidRPr="00586C98">
        <w:rPr>
          <w:i/>
          <w:iCs/>
          <w:lang w:eastAsia="ru-RU"/>
        </w:rPr>
        <w:t>творческих мероприятий</w:t>
      </w:r>
      <w:r w:rsidRPr="00586C98">
        <w:rPr>
          <w:lang w:eastAsia="ru-RU"/>
        </w:rPr>
        <w:t> за 2008-2009 учебный год составило- 44.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Количество победителей и призеров областных </w:t>
      </w:r>
      <w:r w:rsidRPr="00586C98">
        <w:rPr>
          <w:i/>
          <w:iCs/>
          <w:lang w:eastAsia="ru-RU"/>
        </w:rPr>
        <w:t>творческих конкурсов</w:t>
      </w:r>
      <w:r w:rsidRPr="00586C98">
        <w:rPr>
          <w:lang w:eastAsia="ru-RU"/>
        </w:rPr>
        <w:t>- 41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2009-2010 учебном году более 80 призовых мест по итогам </w:t>
      </w:r>
      <w:r w:rsidRPr="00586C98">
        <w:rPr>
          <w:i/>
          <w:iCs/>
          <w:lang w:eastAsia="ru-RU"/>
        </w:rPr>
        <w:t>Всероссийских и областных конкурсов</w:t>
      </w:r>
      <w:r w:rsidRPr="00586C98">
        <w:rPr>
          <w:lang w:eastAsia="ru-RU"/>
        </w:rPr>
        <w:t> («Первые шаги в науку», «Летопись добрых дел», «Государственные символы России», Всероссийский конкурс юных исследователей окружающей среды, «Мой компьютерный проект», «Моя малая Родина» и многих других).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Областной конкурс социальных проектов «Я - гражданин России» - 1 место – средняя школа № 1, средняя школа № 2, </w:t>
      </w:r>
      <w:proofErr w:type="spellStart"/>
      <w:r w:rsidRPr="00586C98">
        <w:rPr>
          <w:lang w:eastAsia="ru-RU"/>
        </w:rPr>
        <w:t>Войловская</w:t>
      </w:r>
      <w:proofErr w:type="spellEnd"/>
      <w:r w:rsidRPr="00586C98">
        <w:rPr>
          <w:lang w:eastAsia="ru-RU"/>
        </w:rPr>
        <w:t xml:space="preserve"> основная школа.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Областной смотр-конкурс музеев и комнат Боевой Славы, посвященный 65-летию Победы- 1 место средняя школа № 6 (участвует во Всероссийском этапе).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конкурсе </w:t>
      </w:r>
      <w:r w:rsidRPr="00586C98">
        <w:rPr>
          <w:i/>
          <w:iCs/>
          <w:lang w:eastAsia="ru-RU"/>
        </w:rPr>
        <w:t>на получение</w:t>
      </w:r>
      <w:r w:rsidRPr="00586C98">
        <w:rPr>
          <w:lang w:eastAsia="ru-RU"/>
        </w:rPr>
        <w:t> </w:t>
      </w:r>
      <w:r w:rsidRPr="00586C98">
        <w:rPr>
          <w:i/>
          <w:iCs/>
          <w:lang w:eastAsia="ru-RU"/>
        </w:rPr>
        <w:t>денежного поощрения лучшими учителями</w:t>
      </w:r>
      <w:r w:rsidRPr="00586C98">
        <w:rPr>
          <w:lang w:eastAsia="ru-RU"/>
        </w:rPr>
        <w:t> в сумме 100 тыс. Рублей район имеет следующие результаты: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2006 год - участвовали 8 учителей, победили – 3 учителя;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2007 год – участвовали 6 учителей, победили – 3 учителя;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2008 год – участвовали 8 учителей, победили – 3 учителя;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2009 год – участвовали 5 учителей, победили – 4 учителя;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2010 год – участвовали 9 учителей, победителей – нет.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Ежегодно классные руководители школ принимают участие в областном конкурсе «Самый классный </w:t>
      </w:r>
      <w:proofErr w:type="spellStart"/>
      <w:proofErr w:type="gramStart"/>
      <w:r w:rsidRPr="00586C98">
        <w:rPr>
          <w:lang w:eastAsia="ru-RU"/>
        </w:rPr>
        <w:t>классный</w:t>
      </w:r>
      <w:proofErr w:type="spellEnd"/>
      <w:proofErr w:type="gramEnd"/>
      <w:r w:rsidRPr="00586C98">
        <w:rPr>
          <w:lang w:eastAsia="ru-RU"/>
        </w:rPr>
        <w:t>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В 2006 году </w:t>
      </w:r>
      <w:proofErr w:type="spellStart"/>
      <w:r w:rsidRPr="00586C98">
        <w:rPr>
          <w:lang w:eastAsia="ru-RU"/>
        </w:rPr>
        <w:t>Жирнова</w:t>
      </w:r>
      <w:proofErr w:type="spellEnd"/>
      <w:r w:rsidRPr="00586C98">
        <w:rPr>
          <w:lang w:eastAsia="ru-RU"/>
        </w:rPr>
        <w:t xml:space="preserve"> Татьяна Геннадьевна - средняя школа №6 - дипломант областного конкурса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2007 год - </w:t>
      </w:r>
      <w:proofErr w:type="spellStart"/>
      <w:r w:rsidRPr="00586C98">
        <w:rPr>
          <w:lang w:eastAsia="ru-RU"/>
        </w:rPr>
        <w:t>Симутова</w:t>
      </w:r>
      <w:proofErr w:type="spellEnd"/>
      <w:r w:rsidRPr="00586C98">
        <w:rPr>
          <w:lang w:eastAsia="ru-RU"/>
        </w:rPr>
        <w:t xml:space="preserve"> Лариса Викторовна - средняя школа №2 - дипломант областного конкурса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2008 го</w:t>
      </w:r>
      <w:proofErr w:type="gramStart"/>
      <w:r w:rsidRPr="00586C98">
        <w:rPr>
          <w:lang w:eastAsia="ru-RU"/>
        </w:rPr>
        <w:t>д-</w:t>
      </w:r>
      <w:proofErr w:type="gramEnd"/>
      <w:r w:rsidRPr="00586C98">
        <w:rPr>
          <w:lang w:eastAsia="ru-RU"/>
        </w:rPr>
        <w:t xml:space="preserve"> Рожкова Надежда Михайловна средняя школа №1- дипломант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2009 го</w:t>
      </w:r>
      <w:proofErr w:type="gramStart"/>
      <w:r w:rsidRPr="00586C98">
        <w:rPr>
          <w:lang w:eastAsia="ru-RU"/>
        </w:rPr>
        <w:t>д-</w:t>
      </w:r>
      <w:proofErr w:type="gramEnd"/>
      <w:r w:rsidRPr="00586C98">
        <w:rPr>
          <w:lang w:eastAsia="ru-RU"/>
        </w:rPr>
        <w:t xml:space="preserve"> Лунева Наталья Вячеславовна - средняя школа №2 - победитель областного конкурса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2010 год- </w:t>
      </w:r>
      <w:proofErr w:type="spellStart"/>
      <w:r w:rsidRPr="00586C98">
        <w:rPr>
          <w:lang w:eastAsia="ru-RU"/>
        </w:rPr>
        <w:t>Дмитрикова</w:t>
      </w:r>
      <w:proofErr w:type="spellEnd"/>
      <w:r w:rsidRPr="00586C98">
        <w:rPr>
          <w:lang w:eastAsia="ru-RU"/>
        </w:rPr>
        <w:t xml:space="preserve"> Галина Алексеевна - средняя школа №1 - заняла 2 место на областном конкурсе «Самый классный </w:t>
      </w:r>
      <w:proofErr w:type="spellStart"/>
      <w:proofErr w:type="gramStart"/>
      <w:r w:rsidRPr="00586C98">
        <w:rPr>
          <w:lang w:eastAsia="ru-RU"/>
        </w:rPr>
        <w:t>классный</w:t>
      </w:r>
      <w:proofErr w:type="spellEnd"/>
      <w:proofErr w:type="gramEnd"/>
      <w:r w:rsidRPr="00586C98">
        <w:rPr>
          <w:lang w:eastAsia="ru-RU"/>
        </w:rPr>
        <w:t>!»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Опыт работы классных руководителей обобщен.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Ежегодно педагоги района становятся победителями и призерами конкурсов «За нравственный подвиг учителя», лауреатами премии имени народного учителя А.Ф.Иванова.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Все общеобразовательные школы перешли на </w:t>
      </w:r>
      <w:r w:rsidRPr="00586C98">
        <w:rPr>
          <w:i/>
          <w:iCs/>
          <w:lang w:eastAsia="ru-RU"/>
        </w:rPr>
        <w:t>новую систему оплаты труда</w:t>
      </w:r>
      <w:r w:rsidRPr="00586C98">
        <w:rPr>
          <w:lang w:eastAsia="ru-RU"/>
        </w:rPr>
        <w:t>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Улучшились условия для обучения детей 1 ступени образования средней общеобразовательной школы № 2, в результате капитального ремонта здания бывшей основной общеобразовательной школы № 7.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Средняя общеобразовательная школа № 2 реализует обучение по </w:t>
      </w:r>
      <w:r w:rsidRPr="00586C98">
        <w:rPr>
          <w:i/>
          <w:iCs/>
          <w:lang w:eastAsia="ru-RU"/>
        </w:rPr>
        <w:t>федеральным образовательным стандартам нового поколения</w:t>
      </w:r>
      <w:r w:rsidRPr="00586C98">
        <w:rPr>
          <w:lang w:eastAsia="ru-RU"/>
        </w:rPr>
        <w:t> -1 «б» класс; 2 «б» класс; 1 «а» клас</w:t>
      </w:r>
      <w:proofErr w:type="gramStart"/>
      <w:r w:rsidRPr="00586C98">
        <w:rPr>
          <w:lang w:eastAsia="ru-RU"/>
        </w:rPr>
        <w:t>с-</w:t>
      </w:r>
      <w:proofErr w:type="gramEnd"/>
      <w:r w:rsidRPr="00586C98">
        <w:rPr>
          <w:lang w:eastAsia="ru-RU"/>
        </w:rPr>
        <w:t xml:space="preserve"> средняя общеобразовательная школа №1.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Десяти (10) общеобразовательным школам был присвоен статус </w:t>
      </w:r>
      <w:r w:rsidRPr="00586C98">
        <w:rPr>
          <w:i/>
          <w:iCs/>
          <w:lang w:eastAsia="ru-RU"/>
        </w:rPr>
        <w:t>инновационной площадки</w:t>
      </w:r>
      <w:r w:rsidRPr="00586C98">
        <w:rPr>
          <w:lang w:eastAsia="ru-RU"/>
        </w:rPr>
        <w:t> муниципального уровня по следующим темам: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Организация спортивно-массовой и физкультурно-оздоровительной работы СОШ № 1);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Реализация проекта «Информатизация системы образования» (СОШ № 2, СОШ № 6, СОШ № 10);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Развитие творческого потенциала учащихся через систему организации внеурочной деятельности (СОШ № 3);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Реализация проекта «Информатизация системы образования», «Школа здоровья» (СОШ № 4);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Гражданско-патриотическое образование школьников (СОШ № 8);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Туристско-краеведческая работа как компонент воспитательной системы школы (СОШ № 5);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- Внедрение </w:t>
      </w:r>
      <w:proofErr w:type="spellStart"/>
      <w:r w:rsidRPr="00586C98">
        <w:rPr>
          <w:lang w:eastAsia="ru-RU"/>
        </w:rPr>
        <w:t>здоровьесберегающих</w:t>
      </w:r>
      <w:proofErr w:type="spellEnd"/>
      <w:r w:rsidRPr="00586C98">
        <w:rPr>
          <w:lang w:eastAsia="ru-RU"/>
        </w:rPr>
        <w:t xml:space="preserve"> технологий (СОШ № 12);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Опорная школа по работе с сельскими малокомплектными школами (СОШ № 10);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Создание и реализация модели воспитательной системы сельской школы (</w:t>
      </w:r>
      <w:proofErr w:type="spellStart"/>
      <w:r w:rsidRPr="00586C98">
        <w:rPr>
          <w:lang w:eastAsia="ru-RU"/>
        </w:rPr>
        <w:t>Войловская</w:t>
      </w:r>
      <w:proofErr w:type="spellEnd"/>
      <w:r w:rsidRPr="00586C98">
        <w:rPr>
          <w:lang w:eastAsia="ru-RU"/>
        </w:rPr>
        <w:t xml:space="preserve"> основная общеобразовательная школа).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Два образовательных учреждения </w:t>
      </w:r>
      <w:proofErr w:type="spellStart"/>
      <w:r w:rsidRPr="00586C98">
        <w:rPr>
          <w:lang w:eastAsia="ru-RU"/>
        </w:rPr>
        <w:t>Людиновского</w:t>
      </w:r>
      <w:proofErr w:type="spellEnd"/>
      <w:r w:rsidRPr="00586C98">
        <w:rPr>
          <w:lang w:eastAsia="ru-RU"/>
        </w:rPr>
        <w:t xml:space="preserve"> района вошли в региональную профессионально-педагогическую сеть КОИПКРО: МОУ средняя школа №2 – как региональный ресурсный центр по проблеме «Современные информационно-коммуникационные технологии и </w:t>
      </w:r>
      <w:proofErr w:type="spellStart"/>
      <w:r w:rsidRPr="00586C98">
        <w:rPr>
          <w:lang w:eastAsia="ru-RU"/>
        </w:rPr>
        <w:t>медиаобразование</w:t>
      </w:r>
      <w:proofErr w:type="spellEnd"/>
      <w:r w:rsidRPr="00586C98">
        <w:rPr>
          <w:lang w:eastAsia="ru-RU"/>
        </w:rPr>
        <w:t>», МОУ средняя школа №3 – по проблеме «Технологические и методические аспекты работы по развитию творчески одаренной личности».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Средней </w:t>
      </w:r>
      <w:proofErr w:type="spellStart"/>
      <w:r w:rsidRPr="00586C98">
        <w:rPr>
          <w:lang w:eastAsia="ru-RU"/>
        </w:rPr>
        <w:t>общеобразовательнаой</w:t>
      </w:r>
      <w:proofErr w:type="spellEnd"/>
      <w:r w:rsidRPr="00586C98">
        <w:rPr>
          <w:lang w:eastAsia="ru-RU"/>
        </w:rPr>
        <w:t xml:space="preserve"> школе № 6 присвоен статус областной экспериментальной площадки «Педагогические условия конструирования ситуационных учебных задач при введении в образовательный процесс информационно-коммуникационных технологий».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Программа разработана в целях реализации национальной образовательной инициативы “Наша новая школа», которая закладывает основы обеспечения прав граждан на выбор образовательного учреждения, дающего современное качественное образование.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Цель модернизации образования состоит в создании механизмов устойчивого развития системы образования в соответствии с направлениями национальной образовательной инициативы «Наша новая школа», которая обеспечивает преемственность основных направлений Программы реализации приоритетного национального проекта «Образование».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2. Основные цели и задачи Программы</w:t>
      </w:r>
    </w:p>
    <w:p w:rsidR="00586C98" w:rsidRPr="00586C98" w:rsidRDefault="00586C98" w:rsidP="00586C98">
      <w:pPr>
        <w:rPr>
          <w:lang w:eastAsia="ru-RU"/>
        </w:rPr>
      </w:pPr>
      <w:proofErr w:type="gramStart"/>
      <w:r w:rsidRPr="00586C98">
        <w:rPr>
          <w:lang w:eastAsia="ru-RU"/>
        </w:rPr>
        <w:t>Цели и задачи Программы определены с учетом Национальной образовательной инициативы «Наша новая школа», приоритетного национального проекта «Образование», Стратегии социально-экономического развития Калужской области и муниципального района.</w:t>
      </w:r>
      <w:proofErr w:type="gramEnd"/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Основной целью программы является модернизация общего образования как института социального развития района и области.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Для достижения поставленной цели необходимо решение следующих основных задач: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1. Создание условий для внедрения федеральных государственных образовательных стандартов общего образования в 2011-2015 годах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2. Развитие творческого и профессионального потенциала педагогических и руководящих работников системы образования.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3. Совершенствование школьной инфраструктуры.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4. Расширение самостоятельности образовательных учреждений.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5. Развитие информационной среды в системе образования.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3. Сроки и этапы реализации Программы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Программа реализуется в период с 2011 по 2015 год, </w:t>
      </w:r>
      <w:proofErr w:type="spellStart"/>
      <w:r w:rsidRPr="00586C98">
        <w:rPr>
          <w:lang w:eastAsia="ru-RU"/>
        </w:rPr>
        <w:t>одноэтапно</w:t>
      </w:r>
      <w:proofErr w:type="spellEnd"/>
      <w:r w:rsidRPr="00586C98">
        <w:rPr>
          <w:lang w:eastAsia="ru-RU"/>
        </w:rPr>
        <w:t>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4. Система основных мероприятий Программы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Перечень программных мероприятий по направлениям представлен в приложении к данной Программе.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1. Переход на новые государственные образовательные стандарты.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Обеспечение современных условий получения качественного образования на основе поэтапного введения ФГОС, удовлетворяющих запросы в сфере образования со стороны обучающихся, родителей (законных представителей), общества, что включает: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последовательность обязательного введения ФГОС по мере готовности муниципальных образовательных учреждений;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создание условий для внедрения ФГОС общего образования на всех ступенях обучения, включая подготовку материально-технической и учебной базы;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увеличение доли школьников муниципального района, обучающихся по новым образовательным стандартам;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- формирование основных образовательных программ общего образования, позволяющих расширить возможности </w:t>
      </w:r>
      <w:proofErr w:type="gramStart"/>
      <w:r w:rsidRPr="00586C98">
        <w:rPr>
          <w:lang w:eastAsia="ru-RU"/>
        </w:rPr>
        <w:t>решения задач учета особенностей муниципальных образовательных учреждений</w:t>
      </w:r>
      <w:proofErr w:type="gramEnd"/>
      <w:r w:rsidRPr="00586C98">
        <w:rPr>
          <w:lang w:eastAsia="ru-RU"/>
        </w:rPr>
        <w:t xml:space="preserve"> и потребностей развития района и региона.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2. Участие в формировании региональной системы оценки качества образования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результате реализации мероприятий программы муниципальные образовательные учреждения примут участие в мониторинге качества подготовки обучающихся, будет проводиться работа по учету внеурочных достижений обучающихся.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3. Развитие учительского потенциала: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расширение возможностей профессионального совершенствования педагогов и участие в создании профессиональных сообществ учителей;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работа по повышению профессионального педагогического образования;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участие во внедрении новых моделей аттестации педагогических и руководящих работников муниципальных образовательных учреждений.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4. Изменение школьной инфраструктуры: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создание условий для обеспечения доступности качественного образования, расширение образовательных возможностей разных категорий детей;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обновление учебного оборудования муниципальных общеобразовательных учреждений, создание комфортных условий пребывания и обучения.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5. Развитие информационной образовательной среды: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расширение возможностей получения образования в дистанционном режиме, развитие информационно-коммуникационных технологий.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6. Расширение самостоятельности школ: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развитие самостоятельности школ возможно при обеспечении экономической и юридической самостоятельности школ, повышении открытости общеобразовательных учреждений, расширении общественного участия в управлении общим образованием.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5.Ресурсное обеспечение Программы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Финансирование Программы осуществляется за счет средств муниципального бюджета.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1504"/>
        <w:gridCol w:w="1245"/>
        <w:gridCol w:w="1057"/>
        <w:gridCol w:w="1055"/>
        <w:gridCol w:w="1246"/>
        <w:gridCol w:w="1246"/>
      </w:tblGrid>
      <w:tr w:rsidR="00586C98" w:rsidRPr="00586C98" w:rsidTr="00586C98">
        <w:trPr>
          <w:tblCellSpacing w:w="15" w:type="dxa"/>
        </w:trPr>
        <w:tc>
          <w:tcPr>
            <w:tcW w:w="2085" w:type="dxa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Источники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финансирования</w:t>
            </w:r>
          </w:p>
        </w:tc>
        <w:tc>
          <w:tcPr>
            <w:tcW w:w="1485" w:type="dxa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Сумма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расходов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(тыс</w:t>
            </w:r>
            <w:proofErr w:type="gramStart"/>
            <w:r w:rsidRPr="00586C98">
              <w:rPr>
                <w:lang w:eastAsia="ru-RU"/>
              </w:rPr>
              <w:t>.р</w:t>
            </w:r>
            <w:proofErr w:type="gramEnd"/>
            <w:r w:rsidRPr="00586C98">
              <w:rPr>
                <w:lang w:eastAsia="ru-RU"/>
              </w:rPr>
              <w:t>уб.)</w:t>
            </w:r>
          </w:p>
        </w:tc>
        <w:tc>
          <w:tcPr>
            <w:tcW w:w="5760" w:type="dxa"/>
            <w:gridSpan w:val="5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 том числе по годам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23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</w:tc>
        <w:tc>
          <w:tcPr>
            <w:tcW w:w="103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</w:t>
            </w:r>
          </w:p>
        </w:tc>
        <w:tc>
          <w:tcPr>
            <w:tcW w:w="103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2013</w:t>
            </w:r>
          </w:p>
        </w:tc>
        <w:tc>
          <w:tcPr>
            <w:tcW w:w="123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2014</w:t>
            </w:r>
          </w:p>
        </w:tc>
        <w:tc>
          <w:tcPr>
            <w:tcW w:w="121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08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Муниципальный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бюджет</w:t>
            </w:r>
          </w:p>
        </w:tc>
        <w:tc>
          <w:tcPr>
            <w:tcW w:w="148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15300,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767</w:t>
            </w:r>
          </w:p>
        </w:tc>
        <w:tc>
          <w:tcPr>
            <w:tcW w:w="123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639,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027</w:t>
            </w:r>
          </w:p>
        </w:tc>
        <w:tc>
          <w:tcPr>
            <w:tcW w:w="103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4895,0</w:t>
            </w:r>
          </w:p>
        </w:tc>
        <w:tc>
          <w:tcPr>
            <w:tcW w:w="103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3682,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16</w:t>
            </w:r>
          </w:p>
        </w:tc>
        <w:tc>
          <w:tcPr>
            <w:tcW w:w="123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3988,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16</w:t>
            </w:r>
          </w:p>
        </w:tc>
        <w:tc>
          <w:tcPr>
            <w:tcW w:w="121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3981,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26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208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48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23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3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3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23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21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</w:tbl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В этом случае объемы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бюджете на очередной финансовый год.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6. Механизм реализации Программы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Заказчиком Программы является администрация муниципального района «Город Людиново и </w:t>
      </w:r>
      <w:proofErr w:type="spellStart"/>
      <w:r w:rsidRPr="00586C98">
        <w:rPr>
          <w:lang w:eastAsia="ru-RU"/>
        </w:rPr>
        <w:t>Людиновский</w:t>
      </w:r>
      <w:proofErr w:type="spellEnd"/>
      <w:r w:rsidRPr="00586C98">
        <w:rPr>
          <w:lang w:eastAsia="ru-RU"/>
        </w:rPr>
        <w:t xml:space="preserve"> район».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Исполнитель Программы ежегодно по итогам ее реализации уточняет объемы необходимых финансовых сре</w:t>
      </w:r>
      <w:proofErr w:type="gramStart"/>
      <w:r w:rsidRPr="00586C98">
        <w:rPr>
          <w:lang w:eastAsia="ru-RU"/>
        </w:rPr>
        <w:t>дств дл</w:t>
      </w:r>
      <w:proofErr w:type="gramEnd"/>
      <w:r w:rsidRPr="00586C98">
        <w:rPr>
          <w:lang w:eastAsia="ru-RU"/>
        </w:rPr>
        <w:t>я финансирования мероприятий в очередном финансовом году и в плановом периоде и по мере формирования муниципального бюджета представляет: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бюджетную заявку на финансирование Программы за счет средств муниципального бюджета на очередной финансовый год и на плановый период;</w:t>
      </w:r>
    </w:p>
    <w:p w:rsidR="00586C98" w:rsidRPr="00586C98" w:rsidRDefault="00586C98" w:rsidP="00586C98">
      <w:pPr>
        <w:rPr>
          <w:lang w:eastAsia="ru-RU"/>
        </w:rPr>
      </w:pPr>
      <w:proofErr w:type="gramStart"/>
      <w:r w:rsidRPr="00586C98">
        <w:rPr>
          <w:lang w:eastAsia="ru-RU"/>
        </w:rPr>
        <w:t>- обоснование объемов финансирования Программы в очередном финансовой году по всем направлениям расходования средств.</w:t>
      </w:r>
      <w:proofErr w:type="gramEnd"/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Исполнитель Программы обеспечивает исполнение программных мероприятий с соблюдением установленных сроков и объемов бюджетного финансирования,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7. Организация управления Программой и </w:t>
      </w:r>
      <w:proofErr w:type="gramStart"/>
      <w:r w:rsidRPr="00586C98">
        <w:rPr>
          <w:lang w:eastAsia="ru-RU"/>
        </w:rPr>
        <w:t>контроль за</w:t>
      </w:r>
      <w:proofErr w:type="gramEnd"/>
      <w:r w:rsidRPr="00586C98">
        <w:rPr>
          <w:lang w:eastAsia="ru-RU"/>
        </w:rPr>
        <w:t xml:space="preserve"> ходом ее выполнения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 xml:space="preserve">Отдел образования администрации муниципального района «Город Людиново и </w:t>
      </w:r>
      <w:proofErr w:type="spellStart"/>
      <w:r w:rsidRPr="00586C98">
        <w:rPr>
          <w:lang w:eastAsia="ru-RU"/>
        </w:rPr>
        <w:t>Людиновский</w:t>
      </w:r>
      <w:proofErr w:type="spellEnd"/>
      <w:r w:rsidRPr="00586C98">
        <w:rPr>
          <w:lang w:eastAsia="ru-RU"/>
        </w:rPr>
        <w:t xml:space="preserve"> район» как исполнитель Программы: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осуществляет текущее управление реализацией Программы;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организует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ежегодно в установленном порядке вносит предложения по уточнению мероприятий Программы;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-представляет отчет о ходе реализации Программы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8. Оценка социально-экономической эффективности Программы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Реализация Программы позволит обеспечить для всех обучающихся муниципального района независимо от их места жительства, социального, имущественного статуса и состояния здоровья доступность качественного общего образования, соответствующего современным образовательным стандартам и требованиям инновационного развития района и области.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При этом будут обеспечены: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создание и внедрение образовательных программ в соответствии с федеральными государственными стандартами общего образования на всех ступенях образования;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внедрение и эффективное использование в системе образования новых информационных сервисов, систем и технологий обучения, электронных образовательных ресурсов нового поколения;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внедрение процедур независимой оценки деятельности муниципальных образовательных учреждений и процессов в системе образования;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реализация общественно-государственного характера управления, направленного на повышение открытости муниципальных образовательных учреждений обществу;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развитие школьной инфраструктуры;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- повышение роли и значения гражданского общества в управлении образованием и становлении обязательной публичной отчетности разных образовательных структур.</w:t>
      </w:r>
    </w:p>
    <w:p w:rsidR="00586C98" w:rsidRPr="00586C98" w:rsidRDefault="00586C98" w:rsidP="00586C98">
      <w:pPr>
        <w:rPr>
          <w:lang w:eastAsia="ru-RU"/>
        </w:rPr>
      </w:pPr>
      <w:r w:rsidRPr="00586C98">
        <w:rPr>
          <w:lang w:eastAsia="ru-RU"/>
        </w:rPr>
        <w:t>Показателем социально-экономической эффективности реализации Программы станет повышение уровня образования обучающихся путем оказания им доступных и качественных образовательных услуг.</w:t>
      </w:r>
    </w:p>
    <w:p w:rsidR="00586C98" w:rsidRPr="00586C98" w:rsidRDefault="00586C98" w:rsidP="00586C98">
      <w:pPr>
        <w:jc w:val="right"/>
        <w:rPr>
          <w:lang w:eastAsia="ru-RU"/>
        </w:rPr>
      </w:pPr>
      <w:r w:rsidRPr="00586C98">
        <w:rPr>
          <w:lang w:eastAsia="ru-RU"/>
        </w:rPr>
        <w:t>Приложение</w:t>
      </w:r>
    </w:p>
    <w:p w:rsidR="00586C98" w:rsidRPr="00586C98" w:rsidRDefault="00586C98" w:rsidP="00586C98">
      <w:pPr>
        <w:jc w:val="right"/>
        <w:rPr>
          <w:lang w:eastAsia="ru-RU"/>
        </w:rPr>
      </w:pPr>
      <w:r w:rsidRPr="00586C98">
        <w:rPr>
          <w:lang w:eastAsia="ru-RU"/>
        </w:rPr>
        <w:t>к долгосрочной целевой программе</w:t>
      </w:r>
    </w:p>
    <w:p w:rsidR="00586C98" w:rsidRPr="00586C98" w:rsidRDefault="00586C98" w:rsidP="00586C98">
      <w:pPr>
        <w:jc w:val="right"/>
        <w:rPr>
          <w:lang w:eastAsia="ru-RU"/>
        </w:rPr>
      </w:pPr>
      <w:r w:rsidRPr="00586C98">
        <w:rPr>
          <w:lang w:eastAsia="ru-RU"/>
        </w:rPr>
        <w:t>«Модернизация системы образования</w:t>
      </w:r>
    </w:p>
    <w:p w:rsidR="00586C98" w:rsidRPr="00586C98" w:rsidRDefault="00586C98" w:rsidP="00586C98">
      <w:pPr>
        <w:jc w:val="right"/>
        <w:rPr>
          <w:lang w:eastAsia="ru-RU"/>
        </w:rPr>
      </w:pPr>
      <w:r w:rsidRPr="00586C98">
        <w:rPr>
          <w:lang w:eastAsia="ru-RU"/>
        </w:rPr>
        <w:t>муниципального района «Город Людиново</w:t>
      </w:r>
    </w:p>
    <w:p w:rsidR="00586C98" w:rsidRPr="00586C98" w:rsidRDefault="00586C98" w:rsidP="00586C98">
      <w:pPr>
        <w:jc w:val="right"/>
        <w:rPr>
          <w:lang w:eastAsia="ru-RU"/>
        </w:rPr>
      </w:pPr>
      <w:r w:rsidRPr="00586C98">
        <w:rPr>
          <w:lang w:eastAsia="ru-RU"/>
        </w:rPr>
        <w:t xml:space="preserve">и </w:t>
      </w:r>
      <w:proofErr w:type="spellStart"/>
      <w:r w:rsidRPr="00586C98">
        <w:rPr>
          <w:lang w:eastAsia="ru-RU"/>
        </w:rPr>
        <w:t>Людиновский</w:t>
      </w:r>
      <w:proofErr w:type="spellEnd"/>
      <w:r w:rsidRPr="00586C98">
        <w:rPr>
          <w:lang w:eastAsia="ru-RU"/>
        </w:rPr>
        <w:t xml:space="preserve"> район»</w:t>
      </w:r>
    </w:p>
    <w:p w:rsidR="00586C98" w:rsidRPr="00586C98" w:rsidRDefault="00586C98" w:rsidP="00586C98">
      <w:pPr>
        <w:jc w:val="right"/>
        <w:rPr>
          <w:lang w:eastAsia="ru-RU"/>
        </w:rPr>
      </w:pPr>
      <w:r w:rsidRPr="00586C98">
        <w:rPr>
          <w:lang w:eastAsia="ru-RU"/>
        </w:rPr>
        <w:t>на 2011-2015 годы»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СИСТЕМА ОСНОВНЫХ МЕРОПРИЯТИЙ ДОЛГОСРОЧНОЦ ЦЕЛЕВОЙ ПРОГРАММЫ</w:t>
      </w:r>
    </w:p>
    <w:p w:rsidR="00586C98" w:rsidRPr="00586C98" w:rsidRDefault="00586C98" w:rsidP="00586C98">
      <w:pPr>
        <w:jc w:val="center"/>
        <w:rPr>
          <w:b/>
          <w:lang w:eastAsia="ru-RU"/>
        </w:rPr>
      </w:pPr>
      <w:r w:rsidRPr="00586C98">
        <w:rPr>
          <w:b/>
          <w:lang w:eastAsia="ru-RU"/>
        </w:rPr>
        <w:t>«МОДЕРНИЗАЦИЯ СИСТЕМЫ ОБРАЗОВАНИЯ МУНИЦИПАЛЬНОГО РАЙОНА «ГОРОД ЛЮДИНОВО И ЛЮДИНОВСКИЙ РАЙОН» НА 2011-2015 ГОДЫ»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1590"/>
        <w:gridCol w:w="845"/>
        <w:gridCol w:w="1285"/>
        <w:gridCol w:w="90"/>
        <w:gridCol w:w="1105"/>
        <w:gridCol w:w="730"/>
        <w:gridCol w:w="106"/>
        <w:gridCol w:w="483"/>
        <w:gridCol w:w="90"/>
        <w:gridCol w:w="90"/>
        <w:gridCol w:w="118"/>
        <w:gridCol w:w="401"/>
        <w:gridCol w:w="130"/>
        <w:gridCol w:w="115"/>
        <w:gridCol w:w="90"/>
        <w:gridCol w:w="333"/>
        <w:gridCol w:w="122"/>
        <w:gridCol w:w="90"/>
        <w:gridCol w:w="518"/>
        <w:gridCol w:w="90"/>
        <w:gridCol w:w="534"/>
      </w:tblGrid>
      <w:tr w:rsidR="00586C98" w:rsidRPr="00586C98" w:rsidTr="00586C98">
        <w:trPr>
          <w:tblCellSpacing w:w="15" w:type="dxa"/>
        </w:trPr>
        <w:tc>
          <w:tcPr>
            <w:tcW w:w="990" w:type="dxa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№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proofErr w:type="spellStart"/>
            <w:proofErr w:type="gramStart"/>
            <w:r w:rsidRPr="00586C98">
              <w:rPr>
                <w:lang w:eastAsia="ru-RU"/>
              </w:rPr>
              <w:t>п</w:t>
            </w:r>
            <w:proofErr w:type="spellEnd"/>
            <w:proofErr w:type="gramEnd"/>
            <w:r w:rsidRPr="00586C98">
              <w:rPr>
                <w:lang w:eastAsia="ru-RU"/>
              </w:rPr>
              <w:t>/</w:t>
            </w:r>
            <w:proofErr w:type="spellStart"/>
            <w:r w:rsidRPr="00586C98">
              <w:rPr>
                <w:lang w:eastAsia="ru-RU"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Наименование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мероприятия</w:t>
            </w:r>
          </w:p>
        </w:tc>
        <w:tc>
          <w:tcPr>
            <w:tcW w:w="1080" w:type="dxa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Сроки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реализации</w:t>
            </w:r>
          </w:p>
        </w:tc>
        <w:tc>
          <w:tcPr>
            <w:tcW w:w="1980" w:type="dxa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Ответственные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за реализацию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мероприятия</w:t>
            </w:r>
          </w:p>
        </w:tc>
        <w:tc>
          <w:tcPr>
            <w:tcW w:w="2160" w:type="dxa"/>
            <w:gridSpan w:val="2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Источники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финансирования</w:t>
            </w:r>
          </w:p>
        </w:tc>
        <w:tc>
          <w:tcPr>
            <w:tcW w:w="1080" w:type="dxa"/>
            <w:gridSpan w:val="2"/>
            <w:vMerge w:val="restart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Сумма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расходов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(тыс. руб.)</w:t>
            </w:r>
          </w:p>
        </w:tc>
        <w:tc>
          <w:tcPr>
            <w:tcW w:w="4245" w:type="dxa"/>
            <w:gridSpan w:val="1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 том числе по годам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7F7F7"/>
            <w:vAlign w:val="center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</w:tc>
        <w:tc>
          <w:tcPr>
            <w:tcW w:w="87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</w:t>
            </w:r>
          </w:p>
        </w:tc>
        <w:tc>
          <w:tcPr>
            <w:tcW w:w="765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2013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2014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</w:t>
            </w:r>
          </w:p>
        </w:tc>
        <w:tc>
          <w:tcPr>
            <w:tcW w:w="87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</w:t>
            </w:r>
          </w:p>
        </w:tc>
        <w:tc>
          <w:tcPr>
            <w:tcW w:w="765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9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11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Подраздел 1. Основные мероприятия долгосрочной целевой программы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1.1. Переход на новые государственные образовательные стандарты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1.1.1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мониторинга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введения федеральных государственных образовательных стандартов общего пользования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35,0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35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1.1.2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реализации программы учебного курса по краеведению, реализуемого в рамках регионального компонента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1.1.3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участия педагогических работников в обучающих семинарах и иных мероприятиях, проводимых в рамках введения федеральных государственных образовательных стандартов общего образования на областном и муниципальном уровне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200,0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50,0</w:t>
            </w:r>
          </w:p>
        </w:tc>
        <w:tc>
          <w:tcPr>
            <w:tcW w:w="735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1.1.4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Обобщение опыта по организации введения федеральных государственных образовательных стандартов общего образования на муниципальном уровне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90,0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35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30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30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1.1.5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смотре-конкурсе на лучшую организацию системы дополнительного образования среди образовательных учреждений области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90,0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35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30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30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ИТОГО: муниципальный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415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735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125</w:t>
            </w:r>
          </w:p>
        </w:tc>
        <w:tc>
          <w:tcPr>
            <w:tcW w:w="76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120</w:t>
            </w:r>
          </w:p>
        </w:tc>
        <w:tc>
          <w:tcPr>
            <w:tcW w:w="765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120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1.2. Участие в формировании региональной системы оценки качества образования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1.2.1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Мониторинг качества подготовки обучающихся общеобразовательных учреждений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65,0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1.2.2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Внедрение региональной модели учёта внеурочных достижений обучающихся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1.2.3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Апробация инновационных моделей учреждений дополнительного образования, сориентированных на решение актуальных для современного образования проблем: «Школа детского телевидения», «Школа толерантности», «Школа генеральных конструкторов» - и иных проектов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155,5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1.2.3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Проведение комплексных маркетинговых исследований социального заказа на образовательные дополнительные услуги, состояния и перспектив развития системы дополнительного образования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2013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44,0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ИТОГО: муниципальный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264,0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14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65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105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 Развитие учительского потенциала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Создание информационного «Банка возможностей» для педагогических работников муниципального района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работы по стажировке педагогических и руководящих работников в образовательных учреждениях – победителях приоритетного национального проекта «Образование» (далее - ПНПО)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проведения мастер - классов у лучших учителей-победителей ПНПО Калужской области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Ежегодно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1.3.4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проведения конкурсов профессионального мастерства педагогических работников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«Воспитатель года»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2014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85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35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«Учитель года»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2013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конкурсе «Лидер в образовании»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1.3.5.4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«Самый классный </w:t>
            </w:r>
            <w:proofErr w:type="spellStart"/>
            <w:proofErr w:type="gramStart"/>
            <w:r w:rsidRPr="00586C98">
              <w:rPr>
                <w:lang w:eastAsia="ru-RU"/>
              </w:rPr>
              <w:t>классный</w:t>
            </w:r>
            <w:proofErr w:type="spellEnd"/>
            <w:proofErr w:type="gramEnd"/>
            <w:r w:rsidRPr="00586C98">
              <w:rPr>
                <w:lang w:eastAsia="ru-RU"/>
              </w:rPr>
              <w:t>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2014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85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35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1.3.5.5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«За нравственный подвиг учителя»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1.3.5.6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конкурсе «Сердце отдаю детям»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32,0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1.3.5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участия победителей муниципальных конкурсов в мероприятиях регионального уровня (участие в финале областного конкурса «Учитель года» и других конкурсах)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1.3.6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конкурсе «Молодой учитель года»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1.3.7.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и проведение конкурса на лучшую муниципальную методическую службу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33,0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1.3.8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конкурсе по присуждению премий и стипендий народного учителя Российской Федерации А.Ф. Иванова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1.3.9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конкурсе на лучшую организацию работы по профориентации учащихся общеобразовательных школ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33,0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1.3.10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Внедрение региональной модели аттестации педагогических и руководящих кадров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1.3.11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Проведение семинаров, совещаний и иных торжественных мероприятий для работников системы образования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400,0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1.3.12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Обеспечение подготовки и повышения квалификации профессиональных менеджеров образования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105,0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ИТОГО: муниципальный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883,0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113,0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250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250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 Изменение школьной инфраструктуры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Развитие учебно-материальной базы общеобразовательных учреждений (предметные кабинеты, технические средства обучения – компьютерная, множительная, копировальная и иная техника)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4594,067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410,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667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416,0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1 255,8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1 255,8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1 255,8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образовательных учреждений, включенных в сеть областных «инновационных площадок», в федеральных конкурсах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Создание в системе дополнительного образования «инновационных площадок» по отработке вариативных </w:t>
            </w:r>
            <w:proofErr w:type="gramStart"/>
            <w:r w:rsidRPr="00586C98">
              <w:rPr>
                <w:lang w:eastAsia="ru-RU"/>
              </w:rPr>
              <w:t>моделей развития системы дополнительного образования детей</w:t>
            </w:r>
            <w:proofErr w:type="gramEnd"/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75,0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25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25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1.4.4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областном конкурсе «Лучшие школы Калужской области»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1.4.5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Оснащение школ оборудованием для спортивных залов, включая оборудование для раздевалок при спортивных залах, душевые кабины и спортинвентарь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573,44</w:t>
            </w:r>
          </w:p>
        </w:tc>
        <w:tc>
          <w:tcPr>
            <w:tcW w:w="87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143,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36</w:t>
            </w:r>
          </w:p>
        </w:tc>
        <w:tc>
          <w:tcPr>
            <w:tcW w:w="93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143,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36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143,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36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143,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36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1.4.6.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Оснащение учреждений дополнительного образования детей инновационными электронными, интерактивными, информационно-познавательными и </w:t>
            </w:r>
            <w:proofErr w:type="spellStart"/>
            <w:r w:rsidRPr="00586C98">
              <w:rPr>
                <w:lang w:eastAsia="ru-RU"/>
              </w:rPr>
              <w:t>досуговыми</w:t>
            </w:r>
            <w:proofErr w:type="spellEnd"/>
            <w:r w:rsidRPr="00586C98">
              <w:rPr>
                <w:lang w:eastAsia="ru-RU"/>
              </w:rPr>
              <w:t xml:space="preserve"> комплексами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2014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</w:t>
            </w:r>
          </w:p>
        </w:tc>
        <w:tc>
          <w:tcPr>
            <w:tcW w:w="87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3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1.4.7.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Создание современных образовательных условий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20249</w:t>
            </w:r>
          </w:p>
        </w:tc>
        <w:tc>
          <w:tcPr>
            <w:tcW w:w="87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3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3249,0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5000,0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6000,0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6000,0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ИТОГО: муниципальный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25591,507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554,027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3665,0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6424,16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7524,16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7424,16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3965" w:type="dxa"/>
            <w:gridSpan w:val="20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 Развитие информационной образовательной среды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Приобретение базового пакета </w:t>
            </w:r>
            <w:proofErr w:type="spellStart"/>
            <w:r w:rsidRPr="00586C98">
              <w:rPr>
                <w:lang w:eastAsia="ru-RU"/>
              </w:rPr>
              <w:t>Microsoft</w:t>
            </w:r>
            <w:proofErr w:type="spellEnd"/>
            <w:r w:rsidRPr="00586C98">
              <w:rPr>
                <w:lang w:eastAsia="ru-RU"/>
              </w:rPr>
              <w:t xml:space="preserve"> (лицензии </w:t>
            </w:r>
            <w:proofErr w:type="spellStart"/>
            <w:r w:rsidRPr="00586C98">
              <w:rPr>
                <w:lang w:eastAsia="ru-RU"/>
              </w:rPr>
              <w:t>Windows</w:t>
            </w:r>
            <w:proofErr w:type="spellEnd"/>
            <w:r w:rsidRPr="00586C98">
              <w:rPr>
                <w:lang w:eastAsia="ru-RU"/>
              </w:rPr>
              <w:t xml:space="preserve"> </w:t>
            </w:r>
            <w:proofErr w:type="spellStart"/>
            <w:r w:rsidRPr="00586C98">
              <w:rPr>
                <w:lang w:eastAsia="ru-RU"/>
              </w:rPr>
              <w:t>Server</w:t>
            </w:r>
            <w:proofErr w:type="spellEnd"/>
            <w:r w:rsidRPr="00586C98">
              <w:rPr>
                <w:lang w:eastAsia="ru-RU"/>
              </w:rPr>
              <w:t xml:space="preserve"> </w:t>
            </w:r>
            <w:proofErr w:type="spellStart"/>
            <w:r w:rsidRPr="00586C98">
              <w:rPr>
                <w:lang w:eastAsia="ru-RU"/>
              </w:rPr>
              <w:t>Standard</w:t>
            </w:r>
            <w:proofErr w:type="spellEnd"/>
            <w:r w:rsidRPr="00586C98">
              <w:rPr>
                <w:lang w:eastAsia="ru-RU"/>
              </w:rPr>
              <w:t xml:space="preserve">) и лицензии GGWA-A </w:t>
            </w:r>
            <w:proofErr w:type="spellStart"/>
            <w:r w:rsidRPr="00586C98">
              <w:rPr>
                <w:lang w:eastAsia="ru-RU"/>
              </w:rPr>
              <w:t>Microsoft</w:t>
            </w:r>
            <w:proofErr w:type="spellEnd"/>
            <w:r w:rsidRPr="00586C98">
              <w:rPr>
                <w:lang w:eastAsia="ru-RU"/>
              </w:rPr>
              <w:t xml:space="preserve"> (с целью легализации базовой ОС для последующей покупки обновления) для учреждений общего образования, системы дошкольного образования, системы начального и среднего профессионального образования, дополнительного образования детей, дополнительного образования учителей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 xml:space="preserve">Организация системы </w:t>
            </w:r>
            <w:proofErr w:type="spellStart"/>
            <w:r w:rsidRPr="00586C98">
              <w:rPr>
                <w:lang w:eastAsia="ru-RU"/>
              </w:rPr>
              <w:t>контент-фильтрации</w:t>
            </w:r>
            <w:proofErr w:type="spellEnd"/>
            <w:r w:rsidRPr="00586C98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586C98">
              <w:rPr>
                <w:lang w:eastAsia="ru-RU"/>
              </w:rPr>
              <w:t>интернет-трафика</w:t>
            </w:r>
            <w:proofErr w:type="spellEnd"/>
            <w:proofErr w:type="gramEnd"/>
            <w:r w:rsidRPr="00586C98">
              <w:rPr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15,0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Модернизация информационной образовательной среды в сфере образования, в т.ч.: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1.5.3.1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Приобретение компьютерного оборудования и программного обеспечения для муниципальных образовательных учреждений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5055,1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1050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1210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1331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1464,1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1.5.4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Развитие дистанционных технологий обучения в образовательном процессе: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600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1.5.4.1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Внедрение дистанционных курсов в муниципальную систему образования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1.5.4.2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Очное обучение педагогов-кураторов (</w:t>
            </w:r>
            <w:proofErr w:type="spellStart"/>
            <w:r w:rsidRPr="00586C98">
              <w:rPr>
                <w:lang w:eastAsia="ru-RU"/>
              </w:rPr>
              <w:t>тьюторов</w:t>
            </w:r>
            <w:proofErr w:type="spellEnd"/>
            <w:r w:rsidRPr="00586C98">
              <w:rPr>
                <w:lang w:eastAsia="ru-RU"/>
              </w:rPr>
              <w:t>), технических специалистов по организации дистанционных курсов. Осуществление информационной поддержки процессов внедрения дистанционного образования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1.5.4.3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Приобретение аппаратно-программных комплексов и специализированного оборудования для организации дистанционного обучения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2013-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600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1.5.5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Внедрение электронных услуг в общеобразовательных учреждениях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ИТОГО: муниципальный бюджет</w:t>
            </w:r>
          </w:p>
        </w:tc>
        <w:tc>
          <w:tcPr>
            <w:tcW w:w="90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6270,1</w:t>
            </w:r>
          </w:p>
        </w:tc>
        <w:tc>
          <w:tcPr>
            <w:tcW w:w="108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1050,0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1615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1736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1869,1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14790" w:type="dxa"/>
            <w:gridSpan w:val="2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1.6. Расширение самостоятельности школ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1.6.1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Участие в конкурсе бухгалтерских служб «Лучшая организация финансово-хозяйственной деятельности»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 учреждения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33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1.6.2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проведение конкурса на лучший опыт деятельности управляющего совета общеобразовательного учреждения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2011-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1.6.4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проведение конкурса на лучший публичный доклад образовательного учреждения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5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1.6.5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Организация проведение конкурса на лучший сайт образовательного учреждения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2012-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2015</w:t>
            </w: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Отдел образования,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«Информационно-методический центр»,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образовательные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учреждения</w:t>
            </w: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Местный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10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9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1.6.6</w:t>
            </w:r>
          </w:p>
        </w:tc>
        <w:tc>
          <w:tcPr>
            <w:tcW w:w="327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Издание публичного отчета министерства образования и науки области</w:t>
            </w:r>
          </w:p>
        </w:tc>
        <w:tc>
          <w:tcPr>
            <w:tcW w:w="10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980" w:type="dxa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ИТОГО: муниципальный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77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23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23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23</w:t>
            </w:r>
          </w:p>
        </w:tc>
      </w:tr>
      <w:tr w:rsidR="00586C98" w:rsidRPr="00586C98" w:rsidTr="00586C98">
        <w:trPr>
          <w:tblCellSpacing w:w="15" w:type="dxa"/>
        </w:trPr>
        <w:tc>
          <w:tcPr>
            <w:tcW w:w="9465" w:type="dxa"/>
            <w:gridSpan w:val="6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муниципальный бюджет</w:t>
            </w:r>
          </w:p>
        </w:tc>
        <w:tc>
          <w:tcPr>
            <w:tcW w:w="108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33500,607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639,</w:t>
            </w:r>
          </w:p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027</w:t>
            </w:r>
          </w:p>
        </w:tc>
        <w:tc>
          <w:tcPr>
            <w:tcW w:w="900" w:type="dxa"/>
            <w:gridSpan w:val="3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4895,0</w:t>
            </w:r>
          </w:p>
        </w:tc>
        <w:tc>
          <w:tcPr>
            <w:tcW w:w="900" w:type="dxa"/>
            <w:gridSpan w:val="4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8452,0</w:t>
            </w:r>
          </w:p>
        </w:tc>
        <w:tc>
          <w:tcPr>
            <w:tcW w:w="720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9753,16</w:t>
            </w:r>
          </w:p>
        </w:tc>
        <w:tc>
          <w:tcPr>
            <w:tcW w:w="825" w:type="dxa"/>
            <w:gridSpan w:val="2"/>
            <w:shd w:val="clear" w:color="auto" w:fill="F7F7F7"/>
            <w:hideMark/>
          </w:tcPr>
          <w:p w:rsidR="00586C98" w:rsidRPr="00586C98" w:rsidRDefault="00586C98" w:rsidP="00586C98">
            <w:pPr>
              <w:rPr>
                <w:lang w:eastAsia="ru-RU"/>
              </w:rPr>
            </w:pPr>
            <w:r w:rsidRPr="00586C98">
              <w:rPr>
                <w:lang w:eastAsia="ru-RU"/>
              </w:rPr>
              <w:t>9769,68</w:t>
            </w:r>
          </w:p>
        </w:tc>
      </w:tr>
    </w:tbl>
    <w:p w:rsidR="00BF5EEA" w:rsidRDefault="00586C98" w:rsidP="00586C98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6C98"/>
    <w:rsid w:val="00147C78"/>
    <w:rsid w:val="00586C98"/>
    <w:rsid w:val="007B75A6"/>
    <w:rsid w:val="00A01423"/>
    <w:rsid w:val="00BD3C25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4987</Words>
  <Characters>28430</Characters>
  <Application>Microsoft Office Word</Application>
  <DocSecurity>0</DocSecurity>
  <Lines>236</Lines>
  <Paragraphs>66</Paragraphs>
  <ScaleCrop>false</ScaleCrop>
  <Company>Microsoft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2018-01-10T11:52:00Z</dcterms:created>
  <dcterms:modified xsi:type="dcterms:W3CDTF">2018-01-10T11:54:00Z</dcterms:modified>
</cp:coreProperties>
</file>