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B3" w:rsidRDefault="00F928B3" w:rsidP="00F928B3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928B3" w:rsidRPr="00031229" w:rsidRDefault="00F928B3" w:rsidP="00F928B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9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проведённой </w:t>
      </w:r>
      <w:r w:rsidRPr="00031229">
        <w:rPr>
          <w:rFonts w:ascii="Times New Roman" w:hAnsi="Times New Roman" w:cs="Times New Roman"/>
          <w:b/>
          <w:sz w:val="24"/>
          <w:szCs w:val="24"/>
        </w:rPr>
        <w:t>проверки целевого и эффективного использования бюджетных средств</w:t>
      </w:r>
      <w:r w:rsidR="0011636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31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36B" w:rsidRPr="00031229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имущества, находящегося в оперативном управлении  </w:t>
      </w:r>
      <w:r w:rsidR="0011636B" w:rsidRPr="0011636B">
        <w:rPr>
          <w:rFonts w:ascii="Times New Roman" w:hAnsi="Times New Roman" w:cs="Times New Roman"/>
          <w:b/>
          <w:sz w:val="24"/>
          <w:szCs w:val="24"/>
        </w:rPr>
        <w:t xml:space="preserve">МКУ «Дворец культуры </w:t>
      </w:r>
      <w:proofErr w:type="spellStart"/>
      <w:r w:rsidR="0011636B" w:rsidRPr="0011636B">
        <w:rPr>
          <w:rFonts w:ascii="Times New Roman" w:hAnsi="Times New Roman" w:cs="Times New Roman"/>
          <w:b/>
          <w:sz w:val="24"/>
          <w:szCs w:val="24"/>
        </w:rPr>
        <w:t>им.Г.Д.Гогиберидзе</w:t>
      </w:r>
      <w:proofErr w:type="spellEnd"/>
      <w:r w:rsidR="0011636B" w:rsidRPr="0011636B">
        <w:rPr>
          <w:rFonts w:ascii="Times New Roman" w:hAnsi="Times New Roman" w:cs="Times New Roman"/>
          <w:b/>
          <w:sz w:val="24"/>
          <w:szCs w:val="24"/>
        </w:rPr>
        <w:t>»</w:t>
      </w:r>
      <w:r w:rsidR="0011636B"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  <w:r w:rsidRPr="00031229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11636B">
        <w:rPr>
          <w:rFonts w:ascii="Times New Roman" w:hAnsi="Times New Roman" w:cs="Times New Roman"/>
          <w:b/>
          <w:sz w:val="24"/>
          <w:szCs w:val="24"/>
        </w:rPr>
        <w:t>19</w:t>
      </w:r>
      <w:r w:rsidRPr="00031229">
        <w:rPr>
          <w:rFonts w:ascii="Times New Roman" w:hAnsi="Times New Roman" w:cs="Times New Roman"/>
          <w:b/>
          <w:sz w:val="24"/>
          <w:szCs w:val="24"/>
        </w:rPr>
        <w:t xml:space="preserve"> года по 01 января 2022 года.</w:t>
      </w:r>
    </w:p>
    <w:p w:rsidR="00F928B3" w:rsidRPr="002F7573" w:rsidRDefault="00F928B3" w:rsidP="00F928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73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F928B3" w:rsidRDefault="00F928B3" w:rsidP="00F928B3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Порядка ведения кассовых операций, наличные денежные средства, поступившие за реализованные билеты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кинопоказ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фильмов, а также за проведённые культурно-массовые мероприятия</w:t>
      </w:r>
      <w:r w:rsidRPr="00635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«Дворец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им.Г.Д.Гогиберидзе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кассу отдела культуры сдавались не ежедневно, а за произвольный период, который составлял от одного до нескольких месяцев, что свидетельствует об отсутствии должного контроля со стороны руководства отдела культуры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соблюдением установленного Порядка ведения кассовых операций и соблюдением требований бюджетного законодательства в части своевременной сдачи наличных денежных средств  Учреждением в кассу отдела культуры, а затем на лицевой счёт для зачисления в доход бюджета городского поселения.</w:t>
      </w:r>
    </w:p>
    <w:p w:rsidR="00F928B3" w:rsidRDefault="00F928B3" w:rsidP="00F928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B73">
        <w:rPr>
          <w:rFonts w:ascii="Times New Roman" w:hAnsi="Times New Roman" w:cs="Times New Roman"/>
          <w:sz w:val="24"/>
          <w:szCs w:val="24"/>
        </w:rPr>
        <w:t>Согласно показателей «</w:t>
      </w:r>
      <w:r w:rsidR="005769FB">
        <w:rPr>
          <w:rFonts w:ascii="Times New Roman" w:hAnsi="Times New Roman" w:cs="Times New Roman"/>
          <w:sz w:val="24"/>
          <w:szCs w:val="24"/>
        </w:rPr>
        <w:t xml:space="preserve"> к</w:t>
      </w:r>
      <w:r w:rsidRPr="00ED5B73">
        <w:rPr>
          <w:rFonts w:ascii="Times New Roman" w:hAnsi="Times New Roman" w:cs="Times New Roman"/>
          <w:sz w:val="24"/>
          <w:szCs w:val="24"/>
        </w:rPr>
        <w:t xml:space="preserve">ассовых отчётов кассира по билетам по кинотеатру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Г.Д.</w:t>
      </w:r>
      <w:r w:rsidRPr="00ED5B73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50440">
        <w:rPr>
          <w:rFonts w:ascii="Times New Roman" w:hAnsi="Times New Roman" w:cs="Times New Roman"/>
          <w:sz w:val="24"/>
          <w:szCs w:val="24"/>
        </w:rPr>
        <w:t xml:space="preserve"> </w:t>
      </w:r>
      <w:r w:rsidRPr="00ED5B73">
        <w:rPr>
          <w:rFonts w:ascii="Times New Roman" w:hAnsi="Times New Roman" w:cs="Times New Roman"/>
          <w:sz w:val="24"/>
          <w:szCs w:val="24"/>
        </w:rPr>
        <w:t xml:space="preserve">выручка </w:t>
      </w:r>
      <w:r>
        <w:rPr>
          <w:rFonts w:ascii="Times New Roman" w:hAnsi="Times New Roman" w:cs="Times New Roman"/>
          <w:sz w:val="24"/>
          <w:szCs w:val="24"/>
        </w:rPr>
        <w:t xml:space="preserve">наличными денежными средствами </w:t>
      </w:r>
      <w:r w:rsidRPr="00ED5B73">
        <w:rPr>
          <w:rFonts w:ascii="Times New Roman" w:hAnsi="Times New Roman" w:cs="Times New Roman"/>
          <w:sz w:val="24"/>
          <w:szCs w:val="24"/>
        </w:rPr>
        <w:t>от показа кинофильмов и от проведения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B73">
        <w:rPr>
          <w:rFonts w:ascii="Times New Roman" w:hAnsi="Times New Roman" w:cs="Times New Roman"/>
          <w:sz w:val="24"/>
          <w:szCs w:val="24"/>
        </w:rPr>
        <w:t xml:space="preserve">за период с 21 октября 2021 года по 31 декабря 2021 года составила в сумме </w:t>
      </w:r>
      <w:r w:rsidRPr="00ED5B73">
        <w:rPr>
          <w:rFonts w:ascii="Times New Roman" w:hAnsi="Times New Roman" w:cs="Times New Roman"/>
          <w:i/>
          <w:sz w:val="24"/>
          <w:szCs w:val="24"/>
        </w:rPr>
        <w:t>292 270,0 рублей</w:t>
      </w:r>
      <w:r w:rsidRPr="00ED5B73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, в нарушение статьи 41 и 161 БК РФ </w:t>
      </w:r>
      <w:r w:rsidRPr="00ED5B73">
        <w:rPr>
          <w:rFonts w:ascii="Times New Roman" w:hAnsi="Times New Roman" w:cs="Times New Roman"/>
          <w:sz w:val="24"/>
          <w:szCs w:val="24"/>
        </w:rPr>
        <w:t xml:space="preserve"> не сдана </w:t>
      </w:r>
      <w:r>
        <w:rPr>
          <w:rFonts w:ascii="Times New Roman" w:hAnsi="Times New Roman" w:cs="Times New Roman"/>
          <w:sz w:val="24"/>
          <w:szCs w:val="24"/>
        </w:rPr>
        <w:t xml:space="preserve">в отчётном финансовом году </w:t>
      </w:r>
      <w:r w:rsidRPr="00ED5B73">
        <w:rPr>
          <w:rFonts w:ascii="Times New Roman" w:hAnsi="Times New Roman" w:cs="Times New Roman"/>
          <w:sz w:val="24"/>
          <w:szCs w:val="24"/>
        </w:rPr>
        <w:t xml:space="preserve"> в кассу отдела</w:t>
      </w:r>
      <w:proofErr w:type="gramEnd"/>
      <w:r w:rsidRPr="00ED5B73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B73">
        <w:rPr>
          <w:rFonts w:ascii="Times New Roman" w:hAnsi="Times New Roman" w:cs="Times New Roman"/>
          <w:sz w:val="24"/>
          <w:szCs w:val="24"/>
        </w:rPr>
        <w:t>и на лицевой счёт Учреждения</w:t>
      </w:r>
      <w:r w:rsidRPr="0099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зачисления </w:t>
      </w:r>
      <w:r w:rsidRPr="003B5D06">
        <w:rPr>
          <w:rFonts w:ascii="Times New Roman" w:hAnsi="Times New Roman" w:cs="Times New Roman"/>
          <w:sz w:val="24"/>
          <w:szCs w:val="24"/>
        </w:rPr>
        <w:t>в доход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Людиново».       </w:t>
      </w:r>
    </w:p>
    <w:p w:rsidR="00F928B3" w:rsidRDefault="00F928B3" w:rsidP="00F928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Выручка за период с 21.10.2021года по 12.01.2022</w:t>
      </w:r>
      <w:r w:rsidR="00576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для зачисления на лицевой счёт сдана</w:t>
      </w:r>
      <w:r w:rsidRPr="004E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целом за  3 месяца  в следующем финансовом году -17 января 2022 года.  </w:t>
      </w:r>
    </w:p>
    <w:p w:rsidR="00F928B3" w:rsidRPr="00ED5B73" w:rsidRDefault="00F928B3" w:rsidP="00F928B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Несвоевременное отражение выручки за проведенные мероприятия по данным бухгалтерского учёта привело к искажению показателя по строке 010 «Доходы от оказания платных услуг» раздела 1 «Доходы бюджета»  «Отчёта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A23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(ф.0503127) МКУ «Дворец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им.Г.Д.Гогиберидзе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по состоянию </w:t>
      </w:r>
      <w:r w:rsidRPr="003B5D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5D06">
        <w:rPr>
          <w:rFonts w:ascii="Times New Roman" w:hAnsi="Times New Roman" w:cs="Times New Roman"/>
          <w:sz w:val="24"/>
          <w:szCs w:val="24"/>
        </w:rPr>
        <w:t xml:space="preserve"> 01.01.2021 года</w:t>
      </w:r>
      <w:r>
        <w:rPr>
          <w:rFonts w:ascii="Times New Roman" w:hAnsi="Times New Roman" w:cs="Times New Roman"/>
          <w:sz w:val="24"/>
          <w:szCs w:val="24"/>
        </w:rPr>
        <w:t xml:space="preserve">  на  </w:t>
      </w:r>
      <w:r w:rsidRPr="00ED5B73">
        <w:rPr>
          <w:rFonts w:ascii="Times New Roman" w:hAnsi="Times New Roman" w:cs="Times New Roman"/>
          <w:i/>
          <w:sz w:val="24"/>
          <w:szCs w:val="24"/>
        </w:rPr>
        <w:t>292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B73">
        <w:rPr>
          <w:rFonts w:ascii="Times New Roman" w:hAnsi="Times New Roman" w:cs="Times New Roman"/>
          <w:i/>
          <w:sz w:val="24"/>
          <w:szCs w:val="24"/>
        </w:rPr>
        <w:t>270,0 рублей.</w:t>
      </w:r>
    </w:p>
    <w:p w:rsidR="00F928B3" w:rsidRDefault="00F928B3" w:rsidP="00F928B3">
      <w:pPr>
        <w:tabs>
          <w:tab w:val="left" w:pos="2625"/>
          <w:tab w:val="left" w:pos="723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BF72C6">
        <w:rPr>
          <w:rFonts w:ascii="Times New Roman" w:hAnsi="Times New Roman" w:cs="Times New Roman"/>
          <w:sz w:val="24"/>
          <w:szCs w:val="24"/>
        </w:rPr>
        <w:t xml:space="preserve"> </w:t>
      </w:r>
      <w:r w:rsidRPr="00261072">
        <w:rPr>
          <w:rFonts w:ascii="Times New Roman" w:hAnsi="Times New Roman" w:cs="Times New Roman"/>
          <w:sz w:val="24"/>
          <w:szCs w:val="24"/>
        </w:rPr>
        <w:t>Неэффективные расходы</w:t>
      </w:r>
      <w:r>
        <w:rPr>
          <w:rFonts w:ascii="Times New Roman" w:hAnsi="Times New Roman" w:cs="Times New Roman"/>
          <w:sz w:val="24"/>
          <w:szCs w:val="24"/>
        </w:rPr>
        <w:t xml:space="preserve">  средств бюджета городского поселения составили </w:t>
      </w:r>
      <w:r w:rsidRPr="00E9615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C7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C2C70">
        <w:rPr>
          <w:rFonts w:ascii="Times New Roman" w:hAnsi="Times New Roman" w:cs="Times New Roman"/>
          <w:i/>
          <w:sz w:val="24"/>
          <w:szCs w:val="24"/>
        </w:rPr>
        <w:t>651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C70">
        <w:rPr>
          <w:rFonts w:ascii="Times New Roman" w:hAnsi="Times New Roman" w:cs="Times New Roman"/>
          <w:i/>
          <w:sz w:val="24"/>
          <w:szCs w:val="24"/>
        </w:rPr>
        <w:t>260,71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2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F928B3" w:rsidRPr="00E945D7" w:rsidRDefault="00F928B3" w:rsidP="00F928B3">
      <w:pPr>
        <w:pStyle w:val="40"/>
        <w:shd w:val="clear" w:color="auto" w:fill="auto"/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- за счёт средств бюджета городского поселения «Город Людиново»</w:t>
      </w:r>
      <w:r w:rsidRPr="00AB505D">
        <w:rPr>
          <w:sz w:val="24"/>
          <w:szCs w:val="24"/>
        </w:rPr>
        <w:t xml:space="preserve"> </w:t>
      </w:r>
      <w:r w:rsidRPr="00762EFA">
        <w:rPr>
          <w:sz w:val="24"/>
          <w:szCs w:val="24"/>
        </w:rPr>
        <w:t>текущего финансового года</w:t>
      </w:r>
      <w:r>
        <w:rPr>
          <w:sz w:val="24"/>
          <w:szCs w:val="24"/>
        </w:rPr>
        <w:t xml:space="preserve"> (в 2021 году)  произведены</w:t>
      </w:r>
      <w:r w:rsidRPr="00762EFA">
        <w:rPr>
          <w:sz w:val="24"/>
          <w:szCs w:val="24"/>
        </w:rPr>
        <w:t xml:space="preserve">  авансо</w:t>
      </w:r>
      <w:r>
        <w:rPr>
          <w:sz w:val="24"/>
          <w:szCs w:val="24"/>
        </w:rPr>
        <w:t xml:space="preserve">вые </w:t>
      </w:r>
      <w:r w:rsidRPr="00762EFA">
        <w:rPr>
          <w:sz w:val="24"/>
          <w:szCs w:val="24"/>
        </w:rPr>
        <w:t>платеж</w:t>
      </w:r>
      <w:r>
        <w:rPr>
          <w:sz w:val="24"/>
          <w:szCs w:val="24"/>
        </w:rPr>
        <w:t>и</w:t>
      </w:r>
      <w:r w:rsidRPr="00963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прокатную плату и агентское вознаграждение </w:t>
      </w:r>
      <w:r w:rsidRPr="00762EFA">
        <w:rPr>
          <w:sz w:val="24"/>
          <w:szCs w:val="24"/>
        </w:rPr>
        <w:t xml:space="preserve">Федеральному Фонду социальной и экономической поддержки отечественной кинематографии за </w:t>
      </w:r>
      <w:proofErr w:type="spellStart"/>
      <w:r w:rsidRPr="00762EFA">
        <w:rPr>
          <w:sz w:val="24"/>
          <w:szCs w:val="24"/>
        </w:rPr>
        <w:t>кинопоказ</w:t>
      </w:r>
      <w:proofErr w:type="spellEnd"/>
      <w:r w:rsidRPr="00762EFA">
        <w:rPr>
          <w:sz w:val="24"/>
          <w:szCs w:val="24"/>
        </w:rPr>
        <w:t xml:space="preserve"> фильмов</w:t>
      </w:r>
      <w:r>
        <w:rPr>
          <w:sz w:val="24"/>
          <w:szCs w:val="24"/>
        </w:rPr>
        <w:t xml:space="preserve">, в результате чего дебиторская задолженность  Фонда перед МКУ «Дворец культуры </w:t>
      </w:r>
      <w:proofErr w:type="spellStart"/>
      <w:r>
        <w:rPr>
          <w:sz w:val="24"/>
          <w:szCs w:val="24"/>
        </w:rPr>
        <w:t>им.Г.Д.Гогиберидзе</w:t>
      </w:r>
      <w:proofErr w:type="spellEnd"/>
      <w:r>
        <w:rPr>
          <w:sz w:val="24"/>
          <w:szCs w:val="24"/>
        </w:rPr>
        <w:t xml:space="preserve">» по состоянию на 01.01.2022 года составила </w:t>
      </w:r>
      <w:r w:rsidRPr="00762EFA">
        <w:rPr>
          <w:sz w:val="24"/>
          <w:szCs w:val="24"/>
        </w:rPr>
        <w:t xml:space="preserve">в сумме </w:t>
      </w:r>
      <w:r w:rsidRPr="00762EFA">
        <w:rPr>
          <w:i/>
          <w:sz w:val="24"/>
          <w:szCs w:val="24"/>
        </w:rPr>
        <w:t>279</w:t>
      </w:r>
      <w:r w:rsidR="005769FB">
        <w:rPr>
          <w:i/>
          <w:sz w:val="24"/>
          <w:szCs w:val="24"/>
        </w:rPr>
        <w:t xml:space="preserve"> </w:t>
      </w:r>
      <w:r w:rsidRPr="00762EFA">
        <w:rPr>
          <w:i/>
          <w:sz w:val="24"/>
          <w:szCs w:val="24"/>
        </w:rPr>
        <w:t>255,34 рублей</w:t>
      </w:r>
      <w:r>
        <w:rPr>
          <w:i/>
          <w:sz w:val="24"/>
          <w:szCs w:val="24"/>
        </w:rPr>
        <w:t xml:space="preserve">, </w:t>
      </w:r>
      <w:r w:rsidRPr="00E945D7">
        <w:rPr>
          <w:sz w:val="24"/>
          <w:szCs w:val="24"/>
        </w:rPr>
        <w:t>которая составляет практически половину годового объёма прокатной платы.</w:t>
      </w:r>
    </w:p>
    <w:p w:rsidR="00F928B3" w:rsidRPr="00BA2F71" w:rsidRDefault="00F928B3" w:rsidP="00F928B3">
      <w:pPr>
        <w:pStyle w:val="40"/>
        <w:shd w:val="clear" w:color="auto" w:fill="auto"/>
        <w:spacing w:line="240" w:lineRule="exact"/>
        <w:ind w:firstLine="567"/>
        <w:rPr>
          <w:sz w:val="24"/>
          <w:szCs w:val="24"/>
          <w:u w:val="single"/>
        </w:rPr>
      </w:pPr>
      <w:r w:rsidRPr="00415A1F">
        <w:rPr>
          <w:sz w:val="24"/>
          <w:szCs w:val="24"/>
        </w:rPr>
        <w:t xml:space="preserve"> </w:t>
      </w:r>
      <w:r w:rsidRPr="00762EFA">
        <w:rPr>
          <w:sz w:val="24"/>
          <w:szCs w:val="24"/>
        </w:rPr>
        <w:t>По условиям контракта</w:t>
      </w:r>
      <w:r>
        <w:rPr>
          <w:sz w:val="24"/>
          <w:szCs w:val="24"/>
        </w:rPr>
        <w:t xml:space="preserve"> и лицензионного соглашения  с Фондом </w:t>
      </w:r>
      <w:r w:rsidRPr="00762EFA">
        <w:rPr>
          <w:sz w:val="24"/>
          <w:szCs w:val="24"/>
        </w:rPr>
        <w:t xml:space="preserve"> оплата</w:t>
      </w:r>
      <w:r>
        <w:rPr>
          <w:sz w:val="24"/>
          <w:szCs w:val="24"/>
        </w:rPr>
        <w:t xml:space="preserve"> расходов за прокатную плату и агентское вознаграждение</w:t>
      </w:r>
      <w:r w:rsidRPr="00762EFA">
        <w:rPr>
          <w:sz w:val="24"/>
          <w:szCs w:val="24"/>
        </w:rPr>
        <w:t xml:space="preserve"> должна </w:t>
      </w:r>
      <w:proofErr w:type="gramStart"/>
      <w:r w:rsidRPr="00762EFA">
        <w:rPr>
          <w:sz w:val="24"/>
          <w:szCs w:val="24"/>
        </w:rPr>
        <w:t>производится</w:t>
      </w:r>
      <w:proofErr w:type="gramEnd"/>
      <w:r w:rsidRPr="00762EFA">
        <w:rPr>
          <w:sz w:val="24"/>
          <w:szCs w:val="24"/>
        </w:rPr>
        <w:t xml:space="preserve"> по факту оказания услуг</w:t>
      </w:r>
      <w:r>
        <w:rPr>
          <w:sz w:val="24"/>
          <w:szCs w:val="24"/>
        </w:rPr>
        <w:t xml:space="preserve">, а </w:t>
      </w:r>
      <w:r w:rsidRPr="00AC2C70">
        <w:rPr>
          <w:i/>
          <w:sz w:val="24"/>
          <w:szCs w:val="24"/>
        </w:rPr>
        <w:t>авансирование</w:t>
      </w:r>
      <w:r>
        <w:rPr>
          <w:sz w:val="24"/>
          <w:szCs w:val="24"/>
        </w:rPr>
        <w:t xml:space="preserve"> </w:t>
      </w:r>
      <w:r w:rsidRPr="00762EFA">
        <w:rPr>
          <w:i/>
          <w:sz w:val="24"/>
          <w:szCs w:val="24"/>
        </w:rPr>
        <w:t xml:space="preserve"> </w:t>
      </w:r>
      <w:r w:rsidRPr="00762EFA">
        <w:rPr>
          <w:sz w:val="24"/>
          <w:szCs w:val="24"/>
        </w:rPr>
        <w:t>условиями контракта от 29.01.2021 г. № 11/8-2</w:t>
      </w:r>
      <w:r w:rsidRPr="00415A1F">
        <w:rPr>
          <w:sz w:val="24"/>
          <w:szCs w:val="24"/>
        </w:rPr>
        <w:t xml:space="preserve"> </w:t>
      </w:r>
      <w:r w:rsidRPr="00762EFA">
        <w:rPr>
          <w:sz w:val="24"/>
          <w:szCs w:val="24"/>
        </w:rPr>
        <w:t>не предусмотрены</w:t>
      </w:r>
      <w:r>
        <w:rPr>
          <w:sz w:val="24"/>
          <w:szCs w:val="24"/>
        </w:rPr>
        <w:t>.</w:t>
      </w:r>
    </w:p>
    <w:p w:rsidR="00F928B3" w:rsidRDefault="00F928B3" w:rsidP="00F928B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счёт начисления и выплаты </w:t>
      </w:r>
      <w:r w:rsidRPr="0002359B">
        <w:rPr>
          <w:rFonts w:ascii="Times New Roman" w:eastAsia="Times New Roman" w:hAnsi="Times New Roman" w:cs="Times New Roman"/>
          <w:i/>
          <w:sz w:val="24"/>
          <w:szCs w:val="24"/>
        </w:rPr>
        <w:t>стимулирующ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Pr="0002359B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надбавк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2359B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интенсивность и высокие результаты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наличия документов, позволяющих оценить результативность и качество работы каждого сотрудника (показателей и критериев) и без  учёта фактически отработанного каждым сотрудником времени в месяце начисления доплаты  в сумме </w:t>
      </w:r>
      <w:r w:rsidRPr="00AC2C70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C2C70">
        <w:rPr>
          <w:rFonts w:ascii="Times New Roman" w:eastAsia="Times New Roman" w:hAnsi="Times New Roman" w:cs="Times New Roman"/>
          <w:i/>
          <w:sz w:val="24"/>
          <w:szCs w:val="24"/>
        </w:rPr>
        <w:t>372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2C70">
        <w:rPr>
          <w:rFonts w:ascii="Times New Roman" w:eastAsia="Times New Roman" w:hAnsi="Times New Roman" w:cs="Times New Roman"/>
          <w:i/>
          <w:sz w:val="24"/>
          <w:szCs w:val="24"/>
        </w:rPr>
        <w:t>005,37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8B3" w:rsidRPr="00D8233B" w:rsidRDefault="00F928B3" w:rsidP="00F928B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3.В нарушение   требований, </w:t>
      </w:r>
      <w:r w:rsidRPr="00014EBE">
        <w:rPr>
          <w:rFonts w:ascii="Times New Roman" w:hAnsi="Times New Roman" w:cs="Times New Roman"/>
          <w:sz w:val="24"/>
          <w:szCs w:val="24"/>
        </w:rPr>
        <w:t xml:space="preserve">установленных Приказом </w:t>
      </w:r>
      <w:r w:rsidR="005769FB">
        <w:rPr>
          <w:rFonts w:ascii="Times New Roman" w:hAnsi="Times New Roman" w:cs="Times New Roman"/>
          <w:sz w:val="24"/>
          <w:szCs w:val="24"/>
        </w:rPr>
        <w:t xml:space="preserve">МФ РФ </w:t>
      </w:r>
      <w:r w:rsidRPr="00014EBE">
        <w:rPr>
          <w:rFonts w:ascii="Times New Roman" w:hAnsi="Times New Roman" w:cs="Times New Roman"/>
          <w:sz w:val="24"/>
          <w:szCs w:val="24"/>
        </w:rPr>
        <w:t>№</w:t>
      </w:r>
      <w:r w:rsidR="005769FB">
        <w:rPr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Fonts w:ascii="Times New Roman" w:hAnsi="Times New Roman" w:cs="Times New Roman"/>
          <w:sz w:val="24"/>
          <w:szCs w:val="24"/>
        </w:rPr>
        <w:t xml:space="preserve">52н, </w:t>
      </w:r>
      <w:r>
        <w:rPr>
          <w:rFonts w:ascii="Times New Roman" w:hAnsi="Times New Roman" w:cs="Times New Roman"/>
          <w:sz w:val="24"/>
          <w:szCs w:val="24"/>
        </w:rPr>
        <w:t xml:space="preserve">в Карточках-справках всех сотрудников за 2019-2020 год </w:t>
      </w:r>
      <w:r w:rsidRPr="00DA3B79">
        <w:rPr>
          <w:rFonts w:ascii="Times New Roman" w:hAnsi="Times New Roman" w:cs="Times New Roman"/>
          <w:sz w:val="24"/>
          <w:szCs w:val="24"/>
        </w:rPr>
        <w:t>отсутствуют обязательные сведения: номер и дата приказа о приёме на работу, сведения об использовании отпуска ( номер и дата приказа о предоставлении отпуска, период, дата начала и окончания, количество дней),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79">
        <w:rPr>
          <w:rFonts w:ascii="Times New Roman" w:hAnsi="Times New Roman" w:cs="Times New Roman"/>
          <w:sz w:val="24"/>
          <w:szCs w:val="24"/>
        </w:rPr>
        <w:t>отсутствует также подпись ответственного исполнителя</w:t>
      </w:r>
      <w:proofErr w:type="gramStart"/>
      <w:r w:rsidRPr="00DA3B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28B3" w:rsidRPr="0032095D" w:rsidRDefault="00F928B3" w:rsidP="00F928B3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4. </w:t>
      </w:r>
      <w:r w:rsidRPr="0032095D">
        <w:rPr>
          <w:rFonts w:ascii="Times New Roman" w:hAnsi="Times New Roman" w:cs="Times New Roman"/>
          <w:sz w:val="24"/>
          <w:szCs w:val="24"/>
        </w:rPr>
        <w:t xml:space="preserve">В нарушение пункта 6 части 1 статьи 162, статьи 264.1 БК РФ, части 1 статьи 13 Федерального закона  от 06.12.2011 № 402-ФЗ, пункта 302 Приказа № 157н, расходы на оплату муниципального контракта, заключенного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95D">
        <w:rPr>
          <w:rFonts w:ascii="Times New Roman" w:hAnsi="Times New Roman" w:cs="Times New Roman"/>
          <w:sz w:val="24"/>
          <w:szCs w:val="24"/>
        </w:rPr>
        <w:t xml:space="preserve">в августе 2021 года на годовое сопровождение КАМИН: Расчёт заработной платы на период с 01.09.2021 года по 31.08.2022 года  в сумме </w:t>
      </w:r>
      <w:r w:rsidRPr="0032095D">
        <w:rPr>
          <w:rFonts w:ascii="Times New Roman" w:hAnsi="Times New Roman" w:cs="Times New Roman"/>
          <w:i/>
          <w:sz w:val="24"/>
          <w:szCs w:val="24"/>
        </w:rPr>
        <w:t>6400,0 рублей</w:t>
      </w:r>
      <w:r w:rsidRPr="00320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контракта за предоставление права использования программы для ЭВМ ( лицензию  ПО «Кинокасса») </w:t>
      </w:r>
      <w:r w:rsidRPr="00072931">
        <w:rPr>
          <w:rFonts w:ascii="Times New Roman" w:hAnsi="Times New Roman" w:cs="Times New Roman"/>
          <w:sz w:val="24"/>
          <w:szCs w:val="24"/>
        </w:rPr>
        <w:t xml:space="preserve"> </w:t>
      </w:r>
      <w:r w:rsidRPr="0032095D">
        <w:rPr>
          <w:rFonts w:ascii="Times New Roman" w:hAnsi="Times New Roman" w:cs="Times New Roman"/>
          <w:sz w:val="24"/>
          <w:szCs w:val="24"/>
        </w:rPr>
        <w:t>на период с 01.0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095D">
        <w:rPr>
          <w:rFonts w:ascii="Times New Roman" w:hAnsi="Times New Roman" w:cs="Times New Roman"/>
          <w:sz w:val="24"/>
          <w:szCs w:val="24"/>
        </w:rPr>
        <w:t xml:space="preserve">.2021 года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095D">
        <w:rPr>
          <w:rFonts w:ascii="Times New Roman" w:hAnsi="Times New Roman" w:cs="Times New Roman"/>
          <w:sz w:val="24"/>
          <w:szCs w:val="24"/>
        </w:rPr>
        <w:t xml:space="preserve">1.08.2022 года 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072931">
        <w:rPr>
          <w:rFonts w:ascii="Times New Roman" w:hAnsi="Times New Roman" w:cs="Times New Roman"/>
          <w:i/>
          <w:sz w:val="24"/>
          <w:szCs w:val="24"/>
        </w:rPr>
        <w:t>48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931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31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32095D">
        <w:rPr>
          <w:rFonts w:ascii="Times New Roman" w:hAnsi="Times New Roman" w:cs="Times New Roman"/>
          <w:sz w:val="24"/>
          <w:szCs w:val="24"/>
        </w:rPr>
        <w:t xml:space="preserve"> неправомерно отнесены в полном объёме на счёт № 1.401.20 «Расходы текущего финансового  года», тогда как затраты, относящиеся к следующим отчётным периодам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95D">
        <w:rPr>
          <w:rFonts w:ascii="Times New Roman" w:hAnsi="Times New Roman" w:cs="Times New Roman"/>
          <w:sz w:val="24"/>
          <w:szCs w:val="24"/>
        </w:rPr>
        <w:t>следовало отразить по дебету счёта 1.401.50 «Расходы  будущих периодов».</w:t>
      </w:r>
    </w:p>
    <w:p w:rsidR="00F928B3" w:rsidRDefault="00F928B3" w:rsidP="00F928B3">
      <w:pPr>
        <w:tabs>
          <w:tab w:val="left" w:pos="3255"/>
        </w:tabs>
        <w:spacing w:after="0" w:line="23" w:lineRule="atLeast"/>
        <w:jc w:val="both"/>
        <w:rPr>
          <w:b/>
          <w:color w:val="000000"/>
          <w:sz w:val="24"/>
          <w:szCs w:val="24"/>
          <w:lang w:bidi="ru-RU"/>
        </w:rPr>
      </w:pPr>
    </w:p>
    <w:p w:rsidR="004C18E6" w:rsidRPr="0029169E" w:rsidRDefault="004C18E6" w:rsidP="004C1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18E6">
        <w:rPr>
          <w:rFonts w:ascii="Times New Roman" w:hAnsi="Times New Roman" w:cs="Times New Roman"/>
          <w:sz w:val="24"/>
          <w:szCs w:val="24"/>
        </w:rPr>
        <w:t xml:space="preserve">По результатам проверки  в адрес заведующей отделом культуры и директора МКУ «Дворец культуры им. </w:t>
      </w:r>
      <w:proofErr w:type="spellStart"/>
      <w:r w:rsidRPr="004C18E6">
        <w:rPr>
          <w:rFonts w:ascii="Times New Roman" w:hAnsi="Times New Roman" w:cs="Times New Roman"/>
          <w:sz w:val="24"/>
          <w:szCs w:val="24"/>
        </w:rPr>
        <w:t>Г.Д.Гогиберидзе</w:t>
      </w:r>
      <w:proofErr w:type="spellEnd"/>
      <w:r w:rsidRPr="004C18E6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29169E">
        <w:rPr>
          <w:rFonts w:ascii="Times New Roman" w:hAnsi="Times New Roman" w:cs="Times New Roman"/>
          <w:sz w:val="24"/>
          <w:szCs w:val="24"/>
        </w:rPr>
        <w:t>направлено представление об устранении выявленных нарушений.</w:t>
      </w:r>
    </w:p>
    <w:sectPr w:rsidR="004C18E6" w:rsidRPr="0029169E" w:rsidSect="005C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8B3"/>
    <w:rsid w:val="000C2DAF"/>
    <w:rsid w:val="0011636B"/>
    <w:rsid w:val="002F3A44"/>
    <w:rsid w:val="004C18E6"/>
    <w:rsid w:val="005769FB"/>
    <w:rsid w:val="005C0548"/>
    <w:rsid w:val="00F9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928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28B3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2022-06-03T05:38:00Z</dcterms:created>
  <dcterms:modified xsi:type="dcterms:W3CDTF">2022-06-03T06:15:00Z</dcterms:modified>
</cp:coreProperties>
</file>